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0B52" w:rsidRPr="001D5312" w:rsidRDefault="00A33F34" w:rsidP="001D53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both"/>
        <w:rPr>
          <w:rFonts w:ascii="Arial" w:hAnsi="Arial" w:cs="Arial"/>
          <w:sz w:val="24"/>
          <w:szCs w:val="24"/>
        </w:rPr>
      </w:pPr>
      <w:r w:rsidRPr="001D5312">
        <w:rPr>
          <w:rFonts w:ascii="Arial" w:hAnsi="Arial" w:cs="Arial"/>
          <w:sz w:val="24"/>
          <w:szCs w:val="24"/>
        </w:rPr>
        <w:t>Martin Karvay:</w:t>
      </w:r>
    </w:p>
    <w:p w:rsidR="00A33F34" w:rsidRPr="001D5312" w:rsidRDefault="00A33F34" w:rsidP="001D53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b/>
          <w:sz w:val="24"/>
          <w:szCs w:val="24"/>
        </w:rPr>
      </w:pPr>
      <w:r w:rsidRPr="001D5312">
        <w:rPr>
          <w:rFonts w:ascii="Arial" w:hAnsi="Arial" w:cs="Arial"/>
          <w:b/>
          <w:sz w:val="24"/>
          <w:szCs w:val="24"/>
        </w:rPr>
        <w:t>Kryptonáboženské aspekty psychologií  C.</w:t>
      </w:r>
      <w:r w:rsidR="001D5312">
        <w:rPr>
          <w:rFonts w:ascii="Arial" w:hAnsi="Arial" w:cs="Arial"/>
          <w:b/>
          <w:sz w:val="24"/>
          <w:szCs w:val="24"/>
        </w:rPr>
        <w:t xml:space="preserve"> </w:t>
      </w:r>
      <w:r w:rsidRPr="001D5312">
        <w:rPr>
          <w:rFonts w:ascii="Arial" w:hAnsi="Arial" w:cs="Arial"/>
          <w:b/>
          <w:sz w:val="24"/>
          <w:szCs w:val="24"/>
        </w:rPr>
        <w:t>G. Junga a S. Grofa</w:t>
      </w:r>
    </w:p>
    <w:p w:rsidR="001D5312" w:rsidRDefault="001D5312" w:rsidP="001D5312">
      <w:pPr>
        <w:jc w:val="both"/>
        <w:rPr>
          <w:rFonts w:ascii="Arial" w:hAnsi="Arial" w:cs="Arial"/>
          <w:sz w:val="24"/>
          <w:szCs w:val="24"/>
        </w:rPr>
      </w:pPr>
    </w:p>
    <w:p w:rsidR="00A33F34" w:rsidRPr="001D5312" w:rsidRDefault="00A33F34" w:rsidP="001D5312">
      <w:pPr>
        <w:jc w:val="center"/>
        <w:rPr>
          <w:rFonts w:ascii="Arial" w:hAnsi="Arial" w:cs="Arial"/>
          <w:sz w:val="24"/>
          <w:szCs w:val="24"/>
        </w:rPr>
      </w:pPr>
      <w:r w:rsidRPr="001D5312">
        <w:rPr>
          <w:rFonts w:ascii="Arial" w:hAnsi="Arial" w:cs="Arial"/>
          <w:sz w:val="24"/>
          <w:szCs w:val="24"/>
        </w:rPr>
        <w:t>Oponentský posudek bakalářské práce</w:t>
      </w:r>
    </w:p>
    <w:p w:rsidR="00A33F34" w:rsidRPr="001D5312" w:rsidRDefault="00A33F34" w:rsidP="001D5312">
      <w:pPr>
        <w:jc w:val="both"/>
        <w:rPr>
          <w:rFonts w:ascii="Arial" w:hAnsi="Arial" w:cs="Arial"/>
          <w:sz w:val="24"/>
          <w:szCs w:val="24"/>
        </w:rPr>
      </w:pPr>
    </w:p>
    <w:p w:rsidR="00A33F34" w:rsidRPr="001D5312" w:rsidRDefault="00A33F34" w:rsidP="001D5312">
      <w:pPr>
        <w:jc w:val="both"/>
        <w:rPr>
          <w:rFonts w:ascii="Arial" w:hAnsi="Arial" w:cs="Arial"/>
          <w:sz w:val="24"/>
          <w:szCs w:val="24"/>
        </w:rPr>
      </w:pPr>
      <w:r w:rsidRPr="001D5312">
        <w:rPr>
          <w:rFonts w:ascii="Arial" w:hAnsi="Arial" w:cs="Arial"/>
          <w:sz w:val="24"/>
          <w:szCs w:val="24"/>
        </w:rPr>
        <w:t xml:space="preserve">   Jistou potíž vyjadřuje již název práce. Je otázkou</w:t>
      </w:r>
      <w:r w:rsidR="001D5312">
        <w:rPr>
          <w:rFonts w:ascii="Arial" w:hAnsi="Arial" w:cs="Arial"/>
          <w:sz w:val="24"/>
          <w:szCs w:val="24"/>
        </w:rPr>
        <w:t>,</w:t>
      </w:r>
      <w:r w:rsidRPr="001D5312">
        <w:rPr>
          <w:rFonts w:ascii="Arial" w:hAnsi="Arial" w:cs="Arial"/>
          <w:sz w:val="24"/>
          <w:szCs w:val="24"/>
        </w:rPr>
        <w:t xml:space="preserve"> lze-li o psychologii mluvit v množném čísle. Je též nejasné, jde-li u </w:t>
      </w:r>
      <w:r w:rsidR="001D5312">
        <w:rPr>
          <w:rFonts w:ascii="Arial" w:hAnsi="Arial" w:cs="Arial"/>
          <w:sz w:val="24"/>
          <w:szCs w:val="24"/>
        </w:rPr>
        <w:t xml:space="preserve">Junga a Grofa </w:t>
      </w:r>
      <w:r w:rsidRPr="001D5312">
        <w:rPr>
          <w:rFonts w:ascii="Arial" w:hAnsi="Arial" w:cs="Arial"/>
          <w:sz w:val="24"/>
          <w:szCs w:val="24"/>
        </w:rPr>
        <w:t xml:space="preserve">o aspekty skutečně </w:t>
      </w:r>
      <w:r w:rsidRPr="001D5312">
        <w:rPr>
          <w:rFonts w:ascii="Arial" w:hAnsi="Arial" w:cs="Arial"/>
          <w:sz w:val="24"/>
          <w:szCs w:val="24"/>
          <w:u w:val="single"/>
        </w:rPr>
        <w:t>krypto</w:t>
      </w:r>
      <w:r w:rsidRPr="001D5312">
        <w:rPr>
          <w:rFonts w:ascii="Arial" w:hAnsi="Arial" w:cs="Arial"/>
          <w:sz w:val="24"/>
          <w:szCs w:val="24"/>
        </w:rPr>
        <w:t>náboženské, tedy</w:t>
      </w:r>
      <w:r w:rsidR="005948B6" w:rsidRPr="001D5312">
        <w:rPr>
          <w:rFonts w:ascii="Arial" w:hAnsi="Arial" w:cs="Arial"/>
          <w:sz w:val="24"/>
          <w:szCs w:val="24"/>
        </w:rPr>
        <w:t xml:space="preserve"> podle obvyklého </w:t>
      </w:r>
      <w:proofErr w:type="gramStart"/>
      <w:r w:rsidR="005948B6" w:rsidRPr="001D5312">
        <w:rPr>
          <w:rFonts w:ascii="Arial" w:hAnsi="Arial" w:cs="Arial"/>
          <w:sz w:val="24"/>
          <w:szCs w:val="24"/>
        </w:rPr>
        <w:t xml:space="preserve">chápání </w:t>
      </w:r>
      <w:r w:rsidRPr="001D5312">
        <w:rPr>
          <w:rFonts w:ascii="Arial" w:hAnsi="Arial" w:cs="Arial"/>
          <w:sz w:val="24"/>
          <w:szCs w:val="24"/>
        </w:rPr>
        <w:t xml:space="preserve"> skrytě</w:t>
      </w:r>
      <w:proofErr w:type="gramEnd"/>
      <w:r w:rsidRPr="001D5312">
        <w:rPr>
          <w:rFonts w:ascii="Arial" w:hAnsi="Arial" w:cs="Arial"/>
          <w:sz w:val="24"/>
          <w:szCs w:val="24"/>
        </w:rPr>
        <w:t xml:space="preserve">, </w:t>
      </w:r>
      <w:r w:rsidR="005948B6" w:rsidRPr="001D5312">
        <w:rPr>
          <w:rFonts w:ascii="Arial" w:hAnsi="Arial" w:cs="Arial"/>
          <w:sz w:val="24"/>
          <w:szCs w:val="24"/>
        </w:rPr>
        <w:t xml:space="preserve">nejen „pod povrchem“, ale i </w:t>
      </w:r>
      <w:r w:rsidRPr="001D5312">
        <w:rPr>
          <w:rFonts w:ascii="Arial" w:hAnsi="Arial" w:cs="Arial"/>
          <w:sz w:val="24"/>
          <w:szCs w:val="24"/>
        </w:rPr>
        <w:t>nepřiznaně náboženské, když oba své vazby na náboženství či spiritualitu, třebaže v atypické a alternativní podobě, celkem otevřeně přiznávají.</w:t>
      </w:r>
      <w:r w:rsidR="00643130" w:rsidRPr="001D5312">
        <w:rPr>
          <w:rFonts w:ascii="Arial" w:hAnsi="Arial" w:cs="Arial"/>
          <w:sz w:val="24"/>
          <w:szCs w:val="24"/>
        </w:rPr>
        <w:t xml:space="preserve"> Navazuje-li podle </w:t>
      </w:r>
      <w:r w:rsidR="001D5312">
        <w:rPr>
          <w:rFonts w:ascii="Arial" w:hAnsi="Arial" w:cs="Arial"/>
          <w:sz w:val="24"/>
          <w:szCs w:val="24"/>
        </w:rPr>
        <w:t xml:space="preserve">samotného </w:t>
      </w:r>
      <w:r w:rsidR="00643130" w:rsidRPr="001D5312">
        <w:rPr>
          <w:rFonts w:ascii="Arial" w:hAnsi="Arial" w:cs="Arial"/>
          <w:sz w:val="24"/>
          <w:szCs w:val="24"/>
        </w:rPr>
        <w:t xml:space="preserve">autora práce Grof na nábožensko-mystické praktiky „zcela nepokrytě“, není na tom nic skrytého. </w:t>
      </w:r>
      <w:r w:rsidRPr="001D5312">
        <w:rPr>
          <w:rFonts w:ascii="Arial" w:hAnsi="Arial" w:cs="Arial"/>
          <w:sz w:val="24"/>
          <w:szCs w:val="24"/>
        </w:rPr>
        <w:t xml:space="preserve"> Možná spíše jde o parareligiózní aspekty jejich díla. Práce však byla takto zadána a tato námitka se nemůže promítnout do návrhu hodnocení. </w:t>
      </w:r>
    </w:p>
    <w:p w:rsidR="00A33F34" w:rsidRPr="001D5312" w:rsidRDefault="00A33F34" w:rsidP="001D5312">
      <w:pPr>
        <w:jc w:val="both"/>
        <w:rPr>
          <w:rFonts w:ascii="Arial" w:hAnsi="Arial" w:cs="Arial"/>
          <w:sz w:val="24"/>
          <w:szCs w:val="24"/>
        </w:rPr>
      </w:pPr>
      <w:r w:rsidRPr="001D5312">
        <w:rPr>
          <w:rFonts w:ascii="Arial" w:hAnsi="Arial" w:cs="Arial"/>
          <w:sz w:val="24"/>
          <w:szCs w:val="24"/>
        </w:rPr>
        <w:t xml:space="preserve">   Autorova definice náboženství je značně problematická a těžko umožňuje vyjasnit, co na dílech uvedených osobností je krypto- či parareligiózní. Jsou-li </w:t>
      </w:r>
      <w:r w:rsidR="00FF0A27">
        <w:rPr>
          <w:rFonts w:ascii="Arial" w:hAnsi="Arial" w:cs="Arial"/>
          <w:sz w:val="24"/>
          <w:szCs w:val="24"/>
        </w:rPr>
        <w:t xml:space="preserve">totiž </w:t>
      </w:r>
      <w:r w:rsidRPr="001D5312">
        <w:rPr>
          <w:rFonts w:ascii="Arial" w:hAnsi="Arial" w:cs="Arial"/>
          <w:sz w:val="24"/>
          <w:szCs w:val="24"/>
        </w:rPr>
        <w:t>v</w:t>
      </w:r>
      <w:r w:rsidR="00FF0A27">
        <w:rPr>
          <w:rFonts w:ascii="Arial" w:hAnsi="Arial" w:cs="Arial"/>
          <w:sz w:val="24"/>
          <w:szCs w:val="24"/>
        </w:rPr>
        <w:t xml:space="preserve"> jeho </w:t>
      </w:r>
      <w:r w:rsidRPr="001D5312">
        <w:rPr>
          <w:rFonts w:ascii="Arial" w:hAnsi="Arial" w:cs="Arial"/>
          <w:sz w:val="24"/>
          <w:szCs w:val="24"/>
        </w:rPr>
        <w:t>definici výrazy „představa“</w:t>
      </w:r>
      <w:r w:rsidR="00FF0A27">
        <w:rPr>
          <w:rFonts w:ascii="Arial" w:hAnsi="Arial" w:cs="Arial"/>
          <w:sz w:val="24"/>
          <w:szCs w:val="24"/>
        </w:rPr>
        <w:t xml:space="preserve"> a</w:t>
      </w:r>
      <w:r w:rsidRPr="001D5312">
        <w:rPr>
          <w:rFonts w:ascii="Arial" w:hAnsi="Arial" w:cs="Arial"/>
          <w:sz w:val="24"/>
          <w:szCs w:val="24"/>
        </w:rPr>
        <w:t xml:space="preserve"> „dojem“, dostáváme se do subjektivní oblasti. Těžko lze u někoho zjistit, jaké má dojmy a představy. Definice nechává stranou sociální aspekt náboženství</w:t>
      </w:r>
      <w:r w:rsidR="00FF0A27">
        <w:rPr>
          <w:rFonts w:ascii="Arial" w:hAnsi="Arial" w:cs="Arial"/>
          <w:sz w:val="24"/>
          <w:szCs w:val="24"/>
        </w:rPr>
        <w:t xml:space="preserve"> pro religionistiku podstatný</w:t>
      </w:r>
      <w:r w:rsidRPr="001D5312">
        <w:rPr>
          <w:rFonts w:ascii="Arial" w:hAnsi="Arial" w:cs="Arial"/>
          <w:sz w:val="24"/>
          <w:szCs w:val="24"/>
        </w:rPr>
        <w:t>, který se projevuje v organizacích, autoritách, textech a obřadech.</w:t>
      </w:r>
      <w:r w:rsidR="005948B6" w:rsidRPr="001D5312">
        <w:rPr>
          <w:rFonts w:ascii="Arial" w:hAnsi="Arial" w:cs="Arial"/>
          <w:sz w:val="24"/>
          <w:szCs w:val="24"/>
        </w:rPr>
        <w:t xml:space="preserve"> Též výraz „nadpřirozený“ </w:t>
      </w:r>
      <w:r w:rsidR="00FF0A27">
        <w:rPr>
          <w:rFonts w:ascii="Arial" w:hAnsi="Arial" w:cs="Arial"/>
          <w:sz w:val="24"/>
          <w:szCs w:val="24"/>
        </w:rPr>
        <w:t xml:space="preserve">v definici </w:t>
      </w:r>
      <w:r w:rsidR="005948B6" w:rsidRPr="001D5312">
        <w:rPr>
          <w:rFonts w:ascii="Arial" w:hAnsi="Arial" w:cs="Arial"/>
          <w:sz w:val="24"/>
          <w:szCs w:val="24"/>
        </w:rPr>
        <w:t>je mnohovýznamový a nev</w:t>
      </w:r>
      <w:r w:rsidR="00FF0A27">
        <w:rPr>
          <w:rFonts w:ascii="Arial" w:hAnsi="Arial" w:cs="Arial"/>
          <w:sz w:val="24"/>
          <w:szCs w:val="24"/>
        </w:rPr>
        <w:t>h</w:t>
      </w:r>
      <w:r w:rsidR="005948B6" w:rsidRPr="001D5312">
        <w:rPr>
          <w:rFonts w:ascii="Arial" w:hAnsi="Arial" w:cs="Arial"/>
          <w:sz w:val="24"/>
          <w:szCs w:val="24"/>
        </w:rPr>
        <w:t xml:space="preserve">odný do definice. Výraz vznikl v prostředí římskokatolické teologie, kde má přesně vymezený význam, o který zjevně </w:t>
      </w:r>
      <w:r w:rsidR="00FF0A27">
        <w:rPr>
          <w:rFonts w:ascii="Arial" w:hAnsi="Arial" w:cs="Arial"/>
          <w:sz w:val="24"/>
          <w:szCs w:val="24"/>
        </w:rPr>
        <w:t xml:space="preserve">zde </w:t>
      </w:r>
      <w:r w:rsidR="005948B6" w:rsidRPr="001D5312">
        <w:rPr>
          <w:rFonts w:ascii="Arial" w:hAnsi="Arial" w:cs="Arial"/>
          <w:sz w:val="24"/>
          <w:szCs w:val="24"/>
        </w:rPr>
        <w:t xml:space="preserve">v definici nejde. </w:t>
      </w:r>
    </w:p>
    <w:p w:rsidR="0038427F" w:rsidRPr="001D5312" w:rsidRDefault="005948B6" w:rsidP="001D5312">
      <w:pPr>
        <w:jc w:val="both"/>
        <w:rPr>
          <w:rFonts w:ascii="Arial" w:hAnsi="Arial" w:cs="Arial"/>
          <w:sz w:val="24"/>
          <w:szCs w:val="24"/>
        </w:rPr>
      </w:pPr>
      <w:r w:rsidRPr="001D5312">
        <w:rPr>
          <w:rFonts w:ascii="Arial" w:hAnsi="Arial" w:cs="Arial"/>
          <w:sz w:val="24"/>
          <w:szCs w:val="24"/>
        </w:rPr>
        <w:t xml:space="preserve">   Struktura práce je přiměřená a jasně čitelná.</w:t>
      </w:r>
      <w:r w:rsidR="00FF0A27">
        <w:rPr>
          <w:rFonts w:ascii="Arial" w:hAnsi="Arial" w:cs="Arial"/>
          <w:sz w:val="24"/>
          <w:szCs w:val="24"/>
        </w:rPr>
        <w:t xml:space="preserve"> Práce je přehledně členěna.</w:t>
      </w:r>
      <w:r w:rsidRPr="001D5312">
        <w:rPr>
          <w:rFonts w:ascii="Arial" w:hAnsi="Arial" w:cs="Arial"/>
          <w:sz w:val="24"/>
          <w:szCs w:val="24"/>
        </w:rPr>
        <w:t xml:space="preserve"> Pokud by </w:t>
      </w:r>
      <w:r w:rsidR="00FF0A27">
        <w:rPr>
          <w:rFonts w:ascii="Arial" w:hAnsi="Arial" w:cs="Arial"/>
          <w:sz w:val="24"/>
          <w:szCs w:val="24"/>
        </w:rPr>
        <w:t>v těchto dobře stanovených bodech práce byl přiměřený obsah</w:t>
      </w:r>
      <w:r w:rsidRPr="001D5312">
        <w:rPr>
          <w:rFonts w:ascii="Arial" w:hAnsi="Arial" w:cs="Arial"/>
          <w:sz w:val="24"/>
          <w:szCs w:val="24"/>
        </w:rPr>
        <w:t xml:space="preserve">, byla by myšlenkově ucelená. Charakteristiky psychologie u dvou vybraných osobností však bohužel sledují </w:t>
      </w:r>
      <w:r w:rsidR="00FF0A27">
        <w:rPr>
          <w:rFonts w:ascii="Arial" w:hAnsi="Arial" w:cs="Arial"/>
          <w:sz w:val="24"/>
          <w:szCs w:val="24"/>
        </w:rPr>
        <w:t xml:space="preserve">spíše </w:t>
      </w:r>
      <w:r w:rsidRPr="001D5312">
        <w:rPr>
          <w:rFonts w:ascii="Arial" w:hAnsi="Arial" w:cs="Arial"/>
          <w:sz w:val="24"/>
          <w:szCs w:val="24"/>
        </w:rPr>
        <w:t xml:space="preserve">ty prvky, které odpovídají studentovu záměru. Jungova analytická psychologie není v práci náležitě představena. U C. G. Junga by se měly rozlišovat </w:t>
      </w:r>
      <w:r w:rsidR="00FF0A27">
        <w:rPr>
          <w:rFonts w:ascii="Arial" w:hAnsi="Arial" w:cs="Arial"/>
          <w:sz w:val="24"/>
          <w:szCs w:val="24"/>
        </w:rPr>
        <w:t xml:space="preserve">a) </w:t>
      </w:r>
      <w:r w:rsidRPr="001D5312">
        <w:rPr>
          <w:rFonts w:ascii="Arial" w:hAnsi="Arial" w:cs="Arial"/>
          <w:sz w:val="24"/>
          <w:szCs w:val="24"/>
        </w:rPr>
        <w:t xml:space="preserve">jeho za života vydané práce, v nichž sice překračuje metodologii pozitivistické psychologie, např. behavioralismu, ale snaží se zachovávat lékařský odstup od náboženských představ, pracovat s nimi jako s obsahy pacientovy psychiky </w:t>
      </w:r>
      <w:r w:rsidR="00FF0A27">
        <w:rPr>
          <w:rFonts w:ascii="Arial" w:hAnsi="Arial" w:cs="Arial"/>
          <w:sz w:val="24"/>
          <w:szCs w:val="24"/>
        </w:rPr>
        <w:t xml:space="preserve">a b) </w:t>
      </w:r>
      <w:r w:rsidRPr="001D5312">
        <w:rPr>
          <w:rFonts w:ascii="Arial" w:hAnsi="Arial" w:cs="Arial"/>
          <w:sz w:val="24"/>
          <w:szCs w:val="24"/>
        </w:rPr>
        <w:t>text</w:t>
      </w:r>
      <w:r w:rsidR="00FF0A27">
        <w:rPr>
          <w:rFonts w:ascii="Arial" w:hAnsi="Arial" w:cs="Arial"/>
          <w:sz w:val="24"/>
          <w:szCs w:val="24"/>
        </w:rPr>
        <w:t>y</w:t>
      </w:r>
      <w:r w:rsidRPr="001D5312">
        <w:rPr>
          <w:rFonts w:ascii="Arial" w:hAnsi="Arial" w:cs="Arial"/>
          <w:sz w:val="24"/>
          <w:szCs w:val="24"/>
        </w:rPr>
        <w:t xml:space="preserve"> vydan</w:t>
      </w:r>
      <w:r w:rsidR="00FF0A27">
        <w:rPr>
          <w:rFonts w:ascii="Arial" w:hAnsi="Arial" w:cs="Arial"/>
          <w:sz w:val="24"/>
          <w:szCs w:val="24"/>
        </w:rPr>
        <w:t>é</w:t>
      </w:r>
      <w:r w:rsidRPr="001D5312">
        <w:rPr>
          <w:rFonts w:ascii="Arial" w:hAnsi="Arial" w:cs="Arial"/>
          <w:sz w:val="24"/>
          <w:szCs w:val="24"/>
        </w:rPr>
        <w:t xml:space="preserve"> většinou posmrtně z pozůstalosti, např. korespondence, materiály seskupení Eranos, Červená kniha apod., v nichž vyslovuje své </w:t>
      </w:r>
      <w:r w:rsidR="00FF0A27">
        <w:rPr>
          <w:rFonts w:ascii="Arial" w:hAnsi="Arial" w:cs="Arial"/>
          <w:sz w:val="24"/>
          <w:szCs w:val="24"/>
        </w:rPr>
        <w:t xml:space="preserve">osobní </w:t>
      </w:r>
      <w:r w:rsidRPr="001D5312">
        <w:rPr>
          <w:rFonts w:ascii="Arial" w:hAnsi="Arial" w:cs="Arial"/>
          <w:sz w:val="24"/>
          <w:szCs w:val="24"/>
        </w:rPr>
        <w:t>(para)religiózní názory. Sotva lze považovat za přesvědčivé, když autor práce charakterizuje Junga téměř výlučně na základě sekundární literatury.</w:t>
      </w:r>
      <w:r w:rsidR="0038427F" w:rsidRPr="001D5312">
        <w:rPr>
          <w:rFonts w:ascii="Arial" w:hAnsi="Arial" w:cs="Arial"/>
          <w:sz w:val="24"/>
          <w:szCs w:val="24"/>
        </w:rPr>
        <w:t xml:space="preserve"> Prameny uváděné na potvrzení nelegitimní Jungovy kryptoreligiozity, zejména Richard Noll: </w:t>
      </w:r>
      <w:r w:rsidR="0038427F" w:rsidRPr="00FF0A27">
        <w:rPr>
          <w:rFonts w:ascii="Arial" w:hAnsi="Arial" w:cs="Arial"/>
          <w:i/>
          <w:sz w:val="24"/>
          <w:szCs w:val="24"/>
        </w:rPr>
        <w:t>Árijský Kristus</w:t>
      </w:r>
      <w:r w:rsidR="0038427F" w:rsidRPr="001D5312">
        <w:rPr>
          <w:rFonts w:ascii="Arial" w:hAnsi="Arial" w:cs="Arial"/>
          <w:sz w:val="24"/>
          <w:szCs w:val="24"/>
        </w:rPr>
        <w:t xml:space="preserve"> rozhodně nejsou „výtkou vědecké obce“. Nollova práce je publicistická.  Buberova výtka rovněž není námitkou vědecké obce, nýbrž je to postavení Buberova</w:t>
      </w:r>
      <w:r w:rsidR="00FF0A27">
        <w:rPr>
          <w:rFonts w:ascii="Arial" w:hAnsi="Arial" w:cs="Arial"/>
          <w:sz w:val="24"/>
          <w:szCs w:val="24"/>
        </w:rPr>
        <w:t xml:space="preserve"> filosofického</w:t>
      </w:r>
      <w:r w:rsidR="0038427F" w:rsidRPr="001D5312">
        <w:rPr>
          <w:rFonts w:ascii="Arial" w:hAnsi="Arial" w:cs="Arial"/>
          <w:sz w:val="24"/>
          <w:szCs w:val="24"/>
        </w:rPr>
        <w:t xml:space="preserve"> názoru proti údajnému Jungovu názoru.</w:t>
      </w:r>
    </w:p>
    <w:p w:rsidR="005948B6" w:rsidRPr="001D5312" w:rsidRDefault="0038427F" w:rsidP="001D5312">
      <w:pPr>
        <w:jc w:val="both"/>
        <w:rPr>
          <w:rFonts w:ascii="Arial" w:hAnsi="Arial" w:cs="Arial"/>
          <w:sz w:val="24"/>
          <w:szCs w:val="24"/>
        </w:rPr>
      </w:pPr>
      <w:r w:rsidRPr="001D5312">
        <w:rPr>
          <w:rFonts w:ascii="Arial" w:hAnsi="Arial" w:cs="Arial"/>
          <w:sz w:val="24"/>
          <w:szCs w:val="24"/>
        </w:rPr>
        <w:t xml:space="preserve">   Charakteristika Grofova pojetí psychologie jako postmoderní, ji nijak necharakterizuje, jen ji časově zařazuje. Přiřazení této osobnosti k „hnutí New Age“ </w:t>
      </w:r>
      <w:r w:rsidRPr="001D5312">
        <w:rPr>
          <w:rFonts w:ascii="Arial" w:hAnsi="Arial" w:cs="Arial"/>
          <w:sz w:val="24"/>
          <w:szCs w:val="24"/>
        </w:rPr>
        <w:lastRenderedPageBreak/>
        <w:t xml:space="preserve">je čirou libovůlí, protože </w:t>
      </w:r>
      <w:r w:rsidR="00FF0A27">
        <w:rPr>
          <w:rFonts w:ascii="Arial" w:hAnsi="Arial" w:cs="Arial"/>
          <w:sz w:val="24"/>
          <w:szCs w:val="24"/>
        </w:rPr>
        <w:t xml:space="preserve">pro takový postup </w:t>
      </w:r>
      <w:r w:rsidRPr="001D5312">
        <w:rPr>
          <w:rFonts w:ascii="Arial" w:hAnsi="Arial" w:cs="Arial"/>
          <w:sz w:val="24"/>
          <w:szCs w:val="24"/>
        </w:rPr>
        <w:t xml:space="preserve">není žádné vědecky přijatelné kritérium. </w:t>
      </w:r>
      <w:r w:rsidR="00643130" w:rsidRPr="001D5312">
        <w:rPr>
          <w:rFonts w:ascii="Arial" w:hAnsi="Arial" w:cs="Arial"/>
          <w:sz w:val="24"/>
          <w:szCs w:val="24"/>
        </w:rPr>
        <w:t xml:space="preserve">Jinak je charakteristika Grofova pojetí mnohem přiměřenější než u Junga. Též proto, že autor vychází převážně ze samotných Grofových textů. </w:t>
      </w:r>
      <w:r w:rsidR="005948B6" w:rsidRPr="001D5312">
        <w:rPr>
          <w:rFonts w:ascii="Arial" w:hAnsi="Arial" w:cs="Arial"/>
          <w:sz w:val="24"/>
          <w:szCs w:val="24"/>
        </w:rPr>
        <w:t xml:space="preserve">  </w:t>
      </w:r>
    </w:p>
    <w:p w:rsidR="005948B6" w:rsidRPr="001D5312" w:rsidRDefault="005948B6" w:rsidP="001D5312">
      <w:pPr>
        <w:jc w:val="both"/>
        <w:rPr>
          <w:rFonts w:ascii="Arial" w:hAnsi="Arial" w:cs="Arial"/>
          <w:sz w:val="24"/>
          <w:szCs w:val="24"/>
        </w:rPr>
      </w:pPr>
      <w:r w:rsidRPr="001D5312">
        <w:rPr>
          <w:rFonts w:ascii="Arial" w:hAnsi="Arial" w:cs="Arial"/>
          <w:sz w:val="24"/>
          <w:szCs w:val="24"/>
        </w:rPr>
        <w:t xml:space="preserve">   V práci jsou četné stylistické (např. hned první věta práce) a pravopisné („oplívá“ na s. 7</w:t>
      </w:r>
      <w:r w:rsidR="0038427F" w:rsidRPr="001D5312">
        <w:rPr>
          <w:rFonts w:ascii="Arial" w:hAnsi="Arial" w:cs="Arial"/>
          <w:sz w:val="24"/>
          <w:szCs w:val="24"/>
        </w:rPr>
        <w:t>, „Jungovi … názory“</w:t>
      </w:r>
      <w:r w:rsidR="00FF0A27">
        <w:rPr>
          <w:rFonts w:ascii="Arial" w:hAnsi="Arial" w:cs="Arial"/>
          <w:sz w:val="24"/>
          <w:szCs w:val="24"/>
        </w:rPr>
        <w:t xml:space="preserve"> </w:t>
      </w:r>
      <w:r w:rsidR="0038427F" w:rsidRPr="001D5312">
        <w:rPr>
          <w:rFonts w:ascii="Arial" w:hAnsi="Arial" w:cs="Arial"/>
          <w:sz w:val="24"/>
          <w:szCs w:val="24"/>
        </w:rPr>
        <w:t>na s. 19</w:t>
      </w:r>
      <w:r w:rsidRPr="001D5312">
        <w:rPr>
          <w:rFonts w:ascii="Arial" w:hAnsi="Arial" w:cs="Arial"/>
          <w:sz w:val="24"/>
          <w:szCs w:val="24"/>
        </w:rPr>
        <w:t>)</w:t>
      </w:r>
      <w:r w:rsidR="0038427F" w:rsidRPr="001D5312">
        <w:rPr>
          <w:rFonts w:ascii="Arial" w:hAnsi="Arial" w:cs="Arial"/>
          <w:sz w:val="24"/>
          <w:szCs w:val="24"/>
        </w:rPr>
        <w:t xml:space="preserve"> chyby. </w:t>
      </w:r>
      <w:r w:rsidR="00643130" w:rsidRPr="001D5312">
        <w:rPr>
          <w:rFonts w:ascii="Arial" w:hAnsi="Arial" w:cs="Arial"/>
          <w:sz w:val="24"/>
          <w:szCs w:val="24"/>
        </w:rPr>
        <w:t>Rovněž nutno poukázat na chyby v úpravě, např. titulek na konci jedné a vlastní text na další straně (s. 50 – 51).</w:t>
      </w:r>
    </w:p>
    <w:p w:rsidR="00643130" w:rsidRDefault="00643130" w:rsidP="001D5312">
      <w:pPr>
        <w:jc w:val="both"/>
        <w:rPr>
          <w:rFonts w:ascii="Arial" w:hAnsi="Arial" w:cs="Arial"/>
          <w:i/>
          <w:sz w:val="24"/>
          <w:szCs w:val="24"/>
          <w:u w:val="single"/>
        </w:rPr>
      </w:pPr>
      <w:r w:rsidRPr="001D5312">
        <w:rPr>
          <w:rFonts w:ascii="Arial" w:hAnsi="Arial" w:cs="Arial"/>
          <w:sz w:val="24"/>
          <w:szCs w:val="24"/>
        </w:rPr>
        <w:t xml:space="preserve">   Autorovu zpracování lze vytknout názorovou vyhr</w:t>
      </w:r>
      <w:r w:rsidR="00FF0A27">
        <w:rPr>
          <w:rFonts w:ascii="Arial" w:hAnsi="Arial" w:cs="Arial"/>
          <w:sz w:val="24"/>
          <w:szCs w:val="24"/>
        </w:rPr>
        <w:t xml:space="preserve">ocenost </w:t>
      </w:r>
      <w:r w:rsidRPr="001D5312">
        <w:rPr>
          <w:rFonts w:ascii="Arial" w:hAnsi="Arial" w:cs="Arial"/>
          <w:sz w:val="24"/>
          <w:szCs w:val="24"/>
        </w:rPr>
        <w:t>chybně zaměňovanou za vědeckost. Názorový spor psychologů příznivých a nepříznivých Grofovi a Jungovi nelze jen tak beze všeho chápat jako spor vědy s nevědou. Věda nemá žádná závazná dogmata a žádné magisterium, které by pro všechny závazně určovalo, co je a co není vědecké. Autor vyčítá Jungovi a Grofovi nevědeckost (ve smyslu nesouladu s „exaktní vědou“ resp. s</w:t>
      </w:r>
      <w:r w:rsidR="001D5312" w:rsidRPr="001D5312">
        <w:rPr>
          <w:rFonts w:ascii="Arial" w:hAnsi="Arial" w:cs="Arial"/>
          <w:sz w:val="24"/>
          <w:szCs w:val="24"/>
        </w:rPr>
        <w:t>e</w:t>
      </w:r>
      <w:r w:rsidRPr="001D5312">
        <w:rPr>
          <w:rFonts w:ascii="Arial" w:hAnsi="Arial" w:cs="Arial"/>
          <w:sz w:val="24"/>
          <w:szCs w:val="24"/>
        </w:rPr>
        <w:t xml:space="preserve"> „</w:t>
      </w:r>
      <w:r w:rsidR="001D5312" w:rsidRPr="001D5312">
        <w:rPr>
          <w:rFonts w:ascii="Arial" w:hAnsi="Arial" w:cs="Arial"/>
          <w:sz w:val="24"/>
          <w:szCs w:val="24"/>
        </w:rPr>
        <w:t xml:space="preserve">zkoumání na </w:t>
      </w:r>
      <w:r w:rsidR="001D5312" w:rsidRPr="001D5312">
        <w:rPr>
          <w:rFonts w:ascii="Arial" w:hAnsi="Arial" w:cs="Arial"/>
          <w:sz w:val="24"/>
          <w:szCs w:val="24"/>
        </w:rPr>
        <w:t>biologicko - geneticko - kulturně - socialní bázi</w:t>
      </w:r>
      <w:r w:rsidR="001D5312" w:rsidRPr="001D5312">
        <w:rPr>
          <w:rFonts w:ascii="Arial" w:hAnsi="Arial" w:cs="Arial"/>
          <w:sz w:val="24"/>
          <w:szCs w:val="24"/>
        </w:rPr>
        <w:t>“</w:t>
      </w:r>
      <w:r w:rsidR="00FF0A27">
        <w:rPr>
          <w:rFonts w:ascii="Arial" w:hAnsi="Arial" w:cs="Arial"/>
          <w:sz w:val="24"/>
          <w:szCs w:val="24"/>
        </w:rPr>
        <w:t>)</w:t>
      </w:r>
      <w:r w:rsidR="001D5312" w:rsidRPr="001D5312">
        <w:rPr>
          <w:rFonts w:ascii="Arial" w:hAnsi="Arial" w:cs="Arial"/>
          <w:sz w:val="24"/>
          <w:szCs w:val="24"/>
        </w:rPr>
        <w:t>. Sám však se proti metodologii odborné práce prohřešuje používáním publicistických a esejistických zdrojů v roli pramenů</w:t>
      </w:r>
      <w:r w:rsidR="00FF0A27">
        <w:rPr>
          <w:rFonts w:ascii="Arial" w:hAnsi="Arial" w:cs="Arial"/>
          <w:sz w:val="24"/>
          <w:szCs w:val="24"/>
        </w:rPr>
        <w:t xml:space="preserve"> a občasným sklouznutím do publicistického stylu</w:t>
      </w:r>
      <w:r w:rsidR="001D5312" w:rsidRPr="001D5312">
        <w:rPr>
          <w:rFonts w:ascii="Arial" w:hAnsi="Arial" w:cs="Arial"/>
          <w:sz w:val="24"/>
          <w:szCs w:val="24"/>
        </w:rPr>
        <w:t>. Práci však nelze zcela zavrhnout. Snaží se s oporou v dobře dokumentované odborné literatuře charakterizovat</w:t>
      </w:r>
      <w:r w:rsidR="00FF0A27">
        <w:rPr>
          <w:rFonts w:ascii="Arial" w:hAnsi="Arial" w:cs="Arial"/>
          <w:sz w:val="24"/>
          <w:szCs w:val="24"/>
        </w:rPr>
        <w:t xml:space="preserve"> a srovnat</w:t>
      </w:r>
      <w:r w:rsidR="001D5312" w:rsidRPr="001D5312">
        <w:rPr>
          <w:rFonts w:ascii="Arial" w:hAnsi="Arial" w:cs="Arial"/>
          <w:sz w:val="24"/>
          <w:szCs w:val="24"/>
        </w:rPr>
        <w:t xml:space="preserve"> oba autory uvedené v názvu. Student nakonec Jungovi a Grofovi přiznává i jistý vědecký přínos. Proto je možno navzdory vytčeným nedostatkům práci doporučit k obhajobě. Navrhuji, pokud se autor přesvědčivě vyjádří k vytčeným chybám</w:t>
      </w:r>
      <w:r w:rsidR="00FF0A27">
        <w:rPr>
          <w:rFonts w:ascii="Arial" w:hAnsi="Arial" w:cs="Arial"/>
          <w:sz w:val="24"/>
          <w:szCs w:val="24"/>
        </w:rPr>
        <w:t>,</w:t>
      </w:r>
      <w:r w:rsidR="001D5312" w:rsidRPr="001D5312">
        <w:rPr>
          <w:rFonts w:ascii="Arial" w:hAnsi="Arial" w:cs="Arial"/>
          <w:sz w:val="24"/>
          <w:szCs w:val="24"/>
        </w:rPr>
        <w:t xml:space="preserve"> hodnotit práci stupněm </w:t>
      </w:r>
      <w:r w:rsidR="001D5312" w:rsidRPr="001D5312">
        <w:rPr>
          <w:rFonts w:ascii="Arial" w:hAnsi="Arial" w:cs="Arial"/>
          <w:i/>
          <w:sz w:val="24"/>
          <w:szCs w:val="24"/>
          <w:u w:val="single"/>
        </w:rPr>
        <w:t>2.5</w:t>
      </w:r>
      <w:r w:rsidR="00FF0A27">
        <w:rPr>
          <w:rFonts w:ascii="Arial" w:hAnsi="Arial" w:cs="Arial"/>
          <w:i/>
          <w:sz w:val="24"/>
          <w:szCs w:val="24"/>
          <w:u w:val="single"/>
        </w:rPr>
        <w:t xml:space="preserve"> </w:t>
      </w:r>
      <w:r w:rsidR="001D5312" w:rsidRPr="001D5312">
        <w:rPr>
          <w:rFonts w:ascii="Arial" w:hAnsi="Arial" w:cs="Arial"/>
          <w:i/>
          <w:sz w:val="24"/>
          <w:szCs w:val="24"/>
          <w:u w:val="single"/>
        </w:rPr>
        <w:t xml:space="preserve">minus (velmi dobře minus)  </w:t>
      </w:r>
      <w:r w:rsidRPr="001D5312">
        <w:rPr>
          <w:rFonts w:ascii="Arial" w:hAnsi="Arial" w:cs="Arial"/>
          <w:i/>
          <w:sz w:val="24"/>
          <w:szCs w:val="24"/>
          <w:u w:val="single"/>
        </w:rPr>
        <w:t xml:space="preserve"> </w:t>
      </w:r>
      <w:bookmarkStart w:id="0" w:name="_GoBack"/>
      <w:bookmarkEnd w:id="0"/>
    </w:p>
    <w:p w:rsidR="001D5312" w:rsidRDefault="001D5312" w:rsidP="001D5312">
      <w:pPr>
        <w:jc w:val="both"/>
        <w:rPr>
          <w:rFonts w:ascii="Arial" w:hAnsi="Arial" w:cs="Arial"/>
          <w:sz w:val="24"/>
          <w:szCs w:val="24"/>
        </w:rPr>
      </w:pPr>
    </w:p>
    <w:p w:rsidR="001D5312" w:rsidRPr="001D5312" w:rsidRDefault="001D5312" w:rsidP="001D531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Zpracoval: Ivan Štampach</w:t>
      </w:r>
    </w:p>
    <w:p w:rsidR="00A33F34" w:rsidRPr="001D5312" w:rsidRDefault="00A33F34" w:rsidP="001D5312">
      <w:pPr>
        <w:jc w:val="both"/>
        <w:rPr>
          <w:rFonts w:ascii="Arial" w:hAnsi="Arial" w:cs="Arial"/>
          <w:sz w:val="24"/>
          <w:szCs w:val="24"/>
        </w:rPr>
      </w:pPr>
      <w:r w:rsidRPr="001D5312">
        <w:rPr>
          <w:rFonts w:ascii="Arial" w:hAnsi="Arial" w:cs="Arial"/>
          <w:sz w:val="24"/>
          <w:szCs w:val="24"/>
        </w:rPr>
        <w:t xml:space="preserve">       </w:t>
      </w:r>
    </w:p>
    <w:sectPr w:rsidR="00A33F34" w:rsidRPr="001D5312" w:rsidSect="001D53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3F34"/>
    <w:rsid w:val="00040B52"/>
    <w:rsid w:val="001D5312"/>
    <w:rsid w:val="0038427F"/>
    <w:rsid w:val="005948B6"/>
    <w:rsid w:val="00643130"/>
    <w:rsid w:val="00A33F34"/>
    <w:rsid w:val="00FF0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3C6264-6C79-4B79-A71E-6ACB80922D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2</Pages>
  <Words>637</Words>
  <Characters>3759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Univerzita Pardubice</Company>
  <LinksUpToDate>false</LinksUpToDate>
  <CharactersWithSpaces>4388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UPa</dc:creator>
  <cp:lastModifiedBy>UPa</cp:lastModifiedBy>
  <cp:revision>1</cp:revision>
  <dcterms:created xsi:type="dcterms:W3CDTF">2012-02-03T14:48:00Z</dcterms:created>
  <dcterms:modified xsi:type="dcterms:W3CDTF">2012-02-03T15:50:00Z</dcterms:modified>
</cp:coreProperties>
</file>