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E31" w:rsidRDefault="00EF3A1E" w:rsidP="00A47B60">
      <w:pPr>
        <w:pStyle w:val="JetrHlavniNadpiserven"/>
        <w:rPr>
          <w:lang w:val="en-US"/>
        </w:rPr>
      </w:pPr>
      <w:r>
        <w:rPr>
          <w:lang w:val="en-US"/>
        </w:rPr>
        <w:t xml:space="preserve">Voltammetric behavior of </w:t>
      </w:r>
      <w:r w:rsidR="004E020E">
        <w:rPr>
          <w:lang w:val="en-US"/>
        </w:rPr>
        <w:t>tri</w:t>
      </w:r>
      <w:r>
        <w:rPr>
          <w:lang w:val="en-US"/>
        </w:rPr>
        <w:t>azole fungicides on boron doped diamond electrode</w:t>
      </w:r>
    </w:p>
    <w:p w:rsidR="00EF3A1E" w:rsidRPr="004E020E" w:rsidRDefault="00EF3A1E" w:rsidP="00A47B60">
      <w:pPr>
        <w:pStyle w:val="JetrHlavniNadpiserven"/>
        <w:rPr>
          <w:color w:val="0000FF"/>
        </w:rPr>
      </w:pPr>
      <w:r w:rsidRPr="004E020E">
        <w:t xml:space="preserve">(Voltametrické chování </w:t>
      </w:r>
      <w:r w:rsidR="004E020E" w:rsidRPr="004E020E">
        <w:t>tri</w:t>
      </w:r>
      <w:r w:rsidRPr="004E020E">
        <w:t>azolových fungicidů na borem dopované diamantové ele</w:t>
      </w:r>
      <w:r w:rsidR="004E020E">
        <w:t>k</w:t>
      </w:r>
      <w:r w:rsidRPr="004E020E">
        <w:t>trod</w:t>
      </w:r>
      <w:r w:rsidR="004E020E" w:rsidRPr="004E020E">
        <w:t>ě</w:t>
      </w:r>
      <w:r w:rsidRPr="004E020E">
        <w:t xml:space="preserve">) </w:t>
      </w:r>
    </w:p>
    <w:p w:rsidR="00A47B60" w:rsidRPr="00621CFA" w:rsidRDefault="00A47B60" w:rsidP="00A47B60">
      <w:pPr>
        <w:pStyle w:val="JetrHlavniNadpiserven"/>
        <w:rPr>
          <w:lang w:val="en-US"/>
        </w:rPr>
      </w:pPr>
    </w:p>
    <w:p w:rsidR="007C2E31" w:rsidRPr="00621CFA" w:rsidRDefault="00EF3A1E" w:rsidP="00A47B60">
      <w:pPr>
        <w:pStyle w:val="JetrAutoriAdresy"/>
        <w:rPr>
          <w:u w:val="none"/>
          <w:lang w:val="en-US"/>
        </w:rPr>
      </w:pPr>
      <w:r>
        <w:rPr>
          <w:lang w:val="en-US"/>
        </w:rPr>
        <w:t>Renáta Šelešovská</w:t>
      </w:r>
      <w:r w:rsidR="007C2E31" w:rsidRPr="00621CFA">
        <w:rPr>
          <w:lang w:val="en-US"/>
        </w:rPr>
        <w:t xml:space="preserve"> </w:t>
      </w:r>
      <w:r w:rsidR="007C2E31" w:rsidRPr="00621CFA">
        <w:rPr>
          <w:vertAlign w:val="superscript"/>
          <w:lang w:val="en-US"/>
        </w:rPr>
        <w:t>a</w:t>
      </w:r>
      <w:r w:rsidR="007C2E31" w:rsidRPr="00621CFA">
        <w:rPr>
          <w:u w:val="none"/>
          <w:lang w:val="en-US"/>
        </w:rPr>
        <w:t xml:space="preserve">, </w:t>
      </w:r>
      <w:r>
        <w:rPr>
          <w:u w:val="none"/>
          <w:lang w:val="en-US"/>
        </w:rPr>
        <w:t>Kateřina Krejčová</w:t>
      </w:r>
      <w:r w:rsidR="007C2E31" w:rsidRPr="00621CFA">
        <w:rPr>
          <w:u w:val="none"/>
          <w:lang w:val="en-US"/>
        </w:rPr>
        <w:t xml:space="preserve"> </w:t>
      </w:r>
      <w:r>
        <w:rPr>
          <w:u w:val="none"/>
          <w:vertAlign w:val="superscript"/>
          <w:lang w:val="en-US"/>
        </w:rPr>
        <w:t>a</w:t>
      </w:r>
      <w:r w:rsidR="007C2E31" w:rsidRPr="00621CFA">
        <w:rPr>
          <w:u w:val="none"/>
          <w:lang w:val="en-US"/>
        </w:rPr>
        <w:t>,</w:t>
      </w:r>
      <w:r>
        <w:rPr>
          <w:u w:val="none"/>
          <w:lang w:val="en-US"/>
        </w:rPr>
        <w:t xml:space="preserve"> Karolína Schwarzová </w:t>
      </w:r>
      <w:r w:rsidRPr="00621CFA">
        <w:rPr>
          <w:u w:val="none"/>
          <w:vertAlign w:val="superscript"/>
          <w:lang w:val="en-US"/>
        </w:rPr>
        <w:t>b</w:t>
      </w:r>
      <w:r>
        <w:rPr>
          <w:u w:val="none"/>
          <w:lang w:val="en-US"/>
        </w:rPr>
        <w:t>,</w:t>
      </w:r>
      <w:r w:rsidR="007C2E31" w:rsidRPr="00621CFA">
        <w:rPr>
          <w:u w:val="none"/>
          <w:lang w:val="en-US"/>
        </w:rPr>
        <w:t xml:space="preserve"> </w:t>
      </w:r>
      <w:r w:rsidR="00C94925">
        <w:rPr>
          <w:u w:val="none"/>
          <w:lang w:val="en-US"/>
        </w:rPr>
        <w:t xml:space="preserve">Lenka Janíková </w:t>
      </w:r>
      <w:r w:rsidR="00C94925">
        <w:rPr>
          <w:u w:val="none"/>
          <w:vertAlign w:val="superscript"/>
          <w:lang w:val="en-US"/>
        </w:rPr>
        <w:t>a</w:t>
      </w:r>
      <w:r w:rsidR="00C94925">
        <w:rPr>
          <w:u w:val="none"/>
          <w:lang w:val="en-US"/>
        </w:rPr>
        <w:t xml:space="preserve">, </w:t>
      </w:r>
      <w:r w:rsidR="007C2E31" w:rsidRPr="00621CFA">
        <w:rPr>
          <w:u w:val="none"/>
          <w:lang w:val="en-US"/>
        </w:rPr>
        <w:t xml:space="preserve">and </w:t>
      </w:r>
      <w:r>
        <w:rPr>
          <w:u w:val="none"/>
          <w:lang w:val="en-US"/>
        </w:rPr>
        <w:t>Jaromíra Chýlková</w:t>
      </w:r>
      <w:r w:rsidR="007C2E31" w:rsidRPr="00621CFA">
        <w:rPr>
          <w:u w:val="none"/>
          <w:lang w:val="en-US"/>
        </w:rPr>
        <w:t xml:space="preserve"> </w:t>
      </w:r>
      <w:r>
        <w:rPr>
          <w:u w:val="none"/>
          <w:vertAlign w:val="superscript"/>
          <w:lang w:val="en-US"/>
        </w:rPr>
        <w:t>a</w:t>
      </w:r>
    </w:p>
    <w:p w:rsidR="007C2E31" w:rsidRPr="00EF3A1E" w:rsidRDefault="007C2E31" w:rsidP="00A47B60">
      <w:pPr>
        <w:pStyle w:val="JetrAutoriAdresy"/>
        <w:rPr>
          <w:u w:val="none"/>
          <w:lang w:val="en-US"/>
        </w:rPr>
      </w:pPr>
      <w:r w:rsidRPr="00EF3A1E">
        <w:rPr>
          <w:iCs/>
          <w:u w:val="none"/>
          <w:vertAlign w:val="superscript"/>
          <w:lang w:val="en-US"/>
        </w:rPr>
        <w:t xml:space="preserve">a </w:t>
      </w:r>
      <w:r w:rsidR="00EF3A1E" w:rsidRPr="00EF3A1E">
        <w:rPr>
          <w:u w:val="none"/>
          <w:lang w:val="en-US"/>
        </w:rPr>
        <w:t xml:space="preserve">Institute of Environmental and Chemical Engineering, University of Pardubice, Studentská 95, Pardubice, Czech Republic, E-mail: </w:t>
      </w:r>
      <w:hyperlink r:id="rId7" w:history="1">
        <w:r w:rsidR="00EF3A1E" w:rsidRPr="00EF3A1E">
          <w:rPr>
            <w:rStyle w:val="Hypertextovodkaz"/>
            <w:color w:val="auto"/>
            <w:u w:val="none"/>
            <w:lang w:val="en-US"/>
          </w:rPr>
          <w:t>renata.selesovska@upce.cz</w:t>
        </w:r>
      </w:hyperlink>
    </w:p>
    <w:p w:rsidR="007C2E31" w:rsidRPr="00621CFA" w:rsidRDefault="007C2E31" w:rsidP="00A47B60">
      <w:pPr>
        <w:pStyle w:val="JetrAutoriAdresy"/>
        <w:rPr>
          <w:u w:val="none"/>
          <w:lang w:val="en-US"/>
        </w:rPr>
      </w:pPr>
      <w:proofErr w:type="gramStart"/>
      <w:r w:rsidRPr="00621CFA">
        <w:rPr>
          <w:u w:val="none"/>
          <w:vertAlign w:val="superscript"/>
          <w:lang w:val="en-US"/>
        </w:rPr>
        <w:t>b</w:t>
      </w:r>
      <w:proofErr w:type="gramEnd"/>
      <w:r w:rsidRPr="00621CFA">
        <w:rPr>
          <w:u w:val="none"/>
          <w:lang w:val="en-US"/>
        </w:rPr>
        <w:t xml:space="preserve"> Department of Analytical Chemistry, </w:t>
      </w:r>
      <w:r w:rsidR="00EF3A1E" w:rsidRPr="00621CFA">
        <w:rPr>
          <w:u w:val="none"/>
          <w:lang w:val="en-US"/>
        </w:rPr>
        <w:t>Charles University, Faculty of Science,</w:t>
      </w:r>
      <w:r w:rsidRPr="00621CFA">
        <w:rPr>
          <w:u w:val="none"/>
          <w:lang w:val="en-US"/>
        </w:rPr>
        <w:t xml:space="preserve"> </w:t>
      </w:r>
      <w:proofErr w:type="spellStart"/>
      <w:r w:rsidRPr="00621CFA">
        <w:rPr>
          <w:u w:val="none"/>
          <w:lang w:val="en-US"/>
        </w:rPr>
        <w:t>Albertov</w:t>
      </w:r>
      <w:proofErr w:type="spellEnd"/>
      <w:r w:rsidRPr="00621CFA">
        <w:rPr>
          <w:u w:val="none"/>
          <w:lang w:val="en-US"/>
        </w:rPr>
        <w:t xml:space="preserve"> 6, 128 43 Prague 2, Czech Republic</w:t>
      </w:r>
    </w:p>
    <w:p w:rsidR="007C2E31" w:rsidRPr="00621CFA" w:rsidRDefault="007C2E31" w:rsidP="00A47B60">
      <w:pPr>
        <w:pStyle w:val="JetrNadpis"/>
        <w:rPr>
          <w:lang w:val="en-US"/>
        </w:rPr>
      </w:pPr>
    </w:p>
    <w:p w:rsidR="007C2E31" w:rsidRPr="00621CFA" w:rsidRDefault="007C2E31" w:rsidP="00A47B60">
      <w:pPr>
        <w:pStyle w:val="JetrNadpis"/>
        <w:rPr>
          <w:lang w:val="en-US"/>
        </w:rPr>
      </w:pPr>
      <w:r w:rsidRPr="00621CFA">
        <w:rPr>
          <w:lang w:val="en-US"/>
        </w:rPr>
        <w:t>Abstract</w:t>
      </w:r>
    </w:p>
    <w:p w:rsidR="007C2E31" w:rsidRPr="00621CFA" w:rsidRDefault="00263A45" w:rsidP="00A47B60">
      <w:pPr>
        <w:pStyle w:val="JetrText"/>
        <w:rPr>
          <w:lang w:val="en-US"/>
        </w:rPr>
      </w:pPr>
      <w:r w:rsidRPr="00877A05">
        <w:rPr>
          <w:lang w:val="en-US"/>
        </w:rPr>
        <w:t xml:space="preserve">Voltammetric behavior of </w:t>
      </w:r>
      <w:r>
        <w:rPr>
          <w:lang w:val="en-US"/>
        </w:rPr>
        <w:t xml:space="preserve">azole </w:t>
      </w:r>
      <w:r w:rsidRPr="00877A05">
        <w:rPr>
          <w:lang w:val="en-US"/>
        </w:rPr>
        <w:t>fungicide</w:t>
      </w:r>
      <w:r>
        <w:rPr>
          <w:lang w:val="en-US"/>
        </w:rPr>
        <w:t>s difenoconazole, tebuconazole</w:t>
      </w:r>
      <w:r w:rsidR="000B7BA3">
        <w:rPr>
          <w:lang w:val="en-US"/>
        </w:rPr>
        <w:t>,</w:t>
      </w:r>
      <w:r>
        <w:rPr>
          <w:lang w:val="en-US"/>
        </w:rPr>
        <w:t xml:space="preserve"> and triticonazole was </w:t>
      </w:r>
      <w:r w:rsidRPr="00877A05">
        <w:rPr>
          <w:lang w:val="en-US"/>
        </w:rPr>
        <w:t>investigated</w:t>
      </w:r>
      <w:r>
        <w:rPr>
          <w:lang w:val="en-US"/>
        </w:rPr>
        <w:t xml:space="preserve"> for the first time using boron doped diamond electrode.</w:t>
      </w:r>
      <w:r w:rsidR="00BA7202">
        <w:rPr>
          <w:lang w:val="en-US"/>
        </w:rPr>
        <w:t xml:space="preserve"> Oxidation mechanism was also solved.</w:t>
      </w:r>
      <w:r>
        <w:rPr>
          <w:lang w:val="en-US"/>
        </w:rPr>
        <w:t xml:space="preserve"> The obtained oxidation signals o</w:t>
      </w:r>
      <w:r w:rsidR="00BA7202">
        <w:rPr>
          <w:lang w:val="en-US"/>
        </w:rPr>
        <w:t>f</w:t>
      </w:r>
      <w:r>
        <w:rPr>
          <w:lang w:val="en-US"/>
        </w:rPr>
        <w:t xml:space="preserve"> particular compounds were utilized for the development of voltammetric methods for their determination. </w:t>
      </w:r>
      <w:r w:rsidR="00BA7202">
        <w:rPr>
          <w:lang w:val="en-US"/>
        </w:rPr>
        <w:t xml:space="preserve">Proposed methods were applied for analysis of real samples, </w:t>
      </w:r>
      <w:r w:rsidR="00BA7202" w:rsidRPr="00B2104C">
        <w:rPr>
          <w:i/>
          <w:lang w:val="en-US"/>
        </w:rPr>
        <w:t>e.g.</w:t>
      </w:r>
      <w:r w:rsidR="00BA7202">
        <w:rPr>
          <w:lang w:val="en-US"/>
        </w:rPr>
        <w:t xml:space="preserve">, spiked drinking and natural water, pesticide preparations. </w:t>
      </w:r>
    </w:p>
    <w:p w:rsidR="007C2E31" w:rsidRPr="00621CFA" w:rsidRDefault="007C2E31" w:rsidP="00A47B60">
      <w:pPr>
        <w:pStyle w:val="JetrText"/>
        <w:rPr>
          <w:i/>
          <w:lang w:val="en-US"/>
        </w:rPr>
      </w:pPr>
      <w:r w:rsidRPr="00621CFA">
        <w:rPr>
          <w:b/>
          <w:lang w:val="en-US"/>
        </w:rPr>
        <w:t>Key words:</w:t>
      </w:r>
      <w:r w:rsidRPr="00621CFA">
        <w:rPr>
          <w:lang w:val="en-US"/>
        </w:rPr>
        <w:t xml:space="preserve"> </w:t>
      </w:r>
      <w:r w:rsidR="00263A45">
        <w:rPr>
          <w:lang w:val="en-US"/>
        </w:rPr>
        <w:t>Azole fungicides, Difenoconazole, Tebuconazole, Triticonazole, Oxidation, Boron doped diamond electrode.</w:t>
      </w:r>
    </w:p>
    <w:p w:rsidR="007C2E31" w:rsidRPr="00621CFA" w:rsidRDefault="007C2E31" w:rsidP="00A47B60">
      <w:pPr>
        <w:pStyle w:val="JetrText"/>
        <w:rPr>
          <w:lang w:val="en-US"/>
        </w:rPr>
      </w:pPr>
    </w:p>
    <w:p w:rsidR="007C2E31" w:rsidRPr="00B67008" w:rsidRDefault="004D6CBB" w:rsidP="00A47B60">
      <w:pPr>
        <w:pStyle w:val="JetrNadpis"/>
      </w:pPr>
      <w:r w:rsidRPr="00B67008">
        <w:t>Úvod</w:t>
      </w:r>
    </w:p>
    <w:p w:rsidR="0027605D" w:rsidRDefault="00DF354B" w:rsidP="00A47B60">
      <w:pPr>
        <w:pStyle w:val="JetrText"/>
      </w:pPr>
      <w:r>
        <w:t xml:space="preserve">Triazolové fungicidy patří mezi systémové širokospektrální fungicidy, které </w:t>
      </w:r>
      <w:r w:rsidRPr="00DF354B">
        <w:t>se používají k ochraně různých plodin proti plísňovým chorobám a k léčbě plísňových infekcí</w:t>
      </w:r>
      <w:r>
        <w:t xml:space="preserve">. Často jsou rovněž součástí prostředků na ochranu </w:t>
      </w:r>
      <w:r w:rsidRPr="00DF354B">
        <w:t>dřeva, textilií, kůž</w:t>
      </w:r>
      <w:r>
        <w:t>e</w:t>
      </w:r>
      <w:r w:rsidRPr="00DF354B">
        <w:t>, lepid</w:t>
      </w:r>
      <w:r>
        <w:t>e</w:t>
      </w:r>
      <w:r w:rsidRPr="00DF354B">
        <w:t>l, antivegetačních prostřed</w:t>
      </w:r>
      <w:r>
        <w:t>ků</w:t>
      </w:r>
      <w:r w:rsidRPr="00DF354B">
        <w:t xml:space="preserve"> a bar</w:t>
      </w:r>
      <w:r>
        <w:t>e</w:t>
      </w:r>
      <w:r w:rsidRPr="00DF354B">
        <w:t>v</w:t>
      </w:r>
      <w:r>
        <w:rPr>
          <w:vertAlign w:val="superscript"/>
        </w:rPr>
        <w:t>1</w:t>
      </w:r>
      <w:r w:rsidRPr="00DF354B">
        <w:t>.</w:t>
      </w:r>
      <w:r w:rsidR="00C31F23">
        <w:t xml:space="preserve"> Vzhledem k širokému využití mohou mít triazolové fungicidy negativní dopady na zdraví lidí i jiných organismů. Různé studie prokázaly vznik rakoviny jater, hepatotoxické účinky, negativní vliv na reprodukci</w:t>
      </w:r>
      <w:r w:rsidR="000B7BA3">
        <w:t xml:space="preserve"> a další</w:t>
      </w:r>
      <w:r w:rsidR="00C31F23" w:rsidRPr="00C31F23">
        <w:rPr>
          <w:vertAlign w:val="superscript"/>
        </w:rPr>
        <w:t>2-</w:t>
      </w:r>
      <w:r w:rsidR="00C31F23">
        <w:rPr>
          <w:vertAlign w:val="superscript"/>
        </w:rPr>
        <w:t>6</w:t>
      </w:r>
      <w:r w:rsidR="00C31F23">
        <w:t>.</w:t>
      </w:r>
      <w:r w:rsidR="00FF1E44">
        <w:t xml:space="preserve"> Proto je třeba mít k dispozici citlivé analytické metody pro stanovení těchto látek. V současnosti se stanovují zejména pomocí kapalinové chromatografie s hmotnostním</w:t>
      </w:r>
      <w:r w:rsidR="00FF1E44">
        <w:rPr>
          <w:vertAlign w:val="superscript"/>
        </w:rPr>
        <w:t>7, 8</w:t>
      </w:r>
      <w:r w:rsidR="00FF1E44">
        <w:t xml:space="preserve"> nebo DAD detektorem</w:t>
      </w:r>
      <w:r w:rsidR="00FF1E44">
        <w:rPr>
          <w:vertAlign w:val="superscript"/>
        </w:rPr>
        <w:t>9</w:t>
      </w:r>
      <w:r w:rsidR="008E4383">
        <w:t>.</w:t>
      </w:r>
      <w:r w:rsidR="00FF1E44">
        <w:t xml:space="preserve"> </w:t>
      </w:r>
      <w:r w:rsidR="008E4383">
        <w:t>Popsáno bylo i použití</w:t>
      </w:r>
      <w:r w:rsidR="00FF1E44">
        <w:t xml:space="preserve"> plynov</w:t>
      </w:r>
      <w:r w:rsidR="008E4383">
        <w:t>é</w:t>
      </w:r>
      <w:r w:rsidR="00FF1E44">
        <w:t xml:space="preserve"> chromatografie s hmotnostním detektorem</w:t>
      </w:r>
      <w:r w:rsidR="00FF1E44">
        <w:rPr>
          <w:vertAlign w:val="superscript"/>
        </w:rPr>
        <w:t>10, 11</w:t>
      </w:r>
      <w:r w:rsidR="00FF1E44">
        <w:t xml:space="preserve"> nebo kapilárn</w:t>
      </w:r>
      <w:r w:rsidR="008E4383">
        <w:t>í elektroforézy</w:t>
      </w:r>
      <w:r w:rsidR="008E4383">
        <w:rPr>
          <w:vertAlign w:val="superscript"/>
        </w:rPr>
        <w:t>12</w:t>
      </w:r>
      <w:r w:rsidR="00FF1E44">
        <w:t xml:space="preserve">. </w:t>
      </w:r>
      <w:r w:rsidR="00345832">
        <w:t xml:space="preserve">Voltametrické metody, jež mohou být často levnější, jednodušší a rychlejší alternativou k uvedeným poměrně komplikovaným a instrumentálně náročným metodám, nebyly doposud pro stanovení triazolových fungicidů použity. </w:t>
      </w:r>
      <w:r w:rsidR="00804B3B">
        <w:t>Výjimkou je stanovení tebuconazolu pomocí rtuťovým meniskem modifikované měděné pevné amalgámové elektrody (m-CuSAE), kde autoři využili tvorbu komplexu analytu s</w:t>
      </w:r>
      <w:r w:rsidR="002B790C">
        <w:t> </w:t>
      </w:r>
      <w:r w:rsidR="00804B3B">
        <w:t>mědí</w:t>
      </w:r>
      <w:r w:rsidR="002B790C">
        <w:rPr>
          <w:vertAlign w:val="superscript"/>
        </w:rPr>
        <w:t>13, 14</w:t>
      </w:r>
      <w:r w:rsidR="00804B3B">
        <w:t>.</w:t>
      </w:r>
      <w:r w:rsidR="0027605D">
        <w:t xml:space="preserve"> </w:t>
      </w:r>
    </w:p>
    <w:p w:rsidR="0027605D" w:rsidRDefault="0027605D" w:rsidP="00A47B60">
      <w:pPr>
        <w:pStyle w:val="JetrText"/>
      </w:pPr>
    </w:p>
    <w:p w:rsidR="00673AFD" w:rsidRDefault="0027605D" w:rsidP="00A47B60">
      <w:pPr>
        <w:pStyle w:val="JetrText"/>
      </w:pPr>
      <w:r>
        <w:t>V rámci této práce bylo poprvé studováno oxidační chování vybraných triazolových fungicidů, konkrétně difenoconazolu (DFC), tebuconazolu (TBC) a triticonazol</w:t>
      </w:r>
      <w:r w:rsidR="000B7BA3">
        <w:t>u</w:t>
      </w:r>
      <w:r>
        <w:t xml:space="preserve"> (TTC), s využitím borem dopované diamantové elektrody (BDDE) a byly navrženy metody jejich stanovení.</w:t>
      </w:r>
      <w:r w:rsidR="00673AFD">
        <w:t xml:space="preserve"> </w:t>
      </w:r>
      <w:r w:rsidR="00673AFD">
        <w:t xml:space="preserve">Chemické struktury studovaných látek jsou znázorněny na </w:t>
      </w:r>
      <w:r w:rsidR="00673AFD">
        <w:t>Obr.</w:t>
      </w:r>
      <w:r w:rsidR="00673AFD">
        <w:t xml:space="preserve"> 1.</w:t>
      </w:r>
      <w:r>
        <w:t xml:space="preserve"> BDDE byla vybrána pro své výjimečné elektrochemické vlastnosti</w:t>
      </w:r>
      <w:r>
        <w:rPr>
          <w:vertAlign w:val="superscript"/>
        </w:rPr>
        <w:t>15-17</w:t>
      </w:r>
      <w:r>
        <w:t>, zejm. široké potenciálové okno umožňující sledovat anodické signály při značně pozitivních potenciálech.</w:t>
      </w:r>
    </w:p>
    <w:p w:rsidR="008E2A91" w:rsidRDefault="008E2A91" w:rsidP="00A47B60">
      <w:pPr>
        <w:pStyle w:val="JetrText"/>
      </w:pPr>
    </w:p>
    <w:p w:rsidR="008E2A91" w:rsidRPr="004B0B16" w:rsidRDefault="008E2A91" w:rsidP="008E2A91">
      <w:pPr>
        <w:pStyle w:val="JetrNadpis"/>
      </w:pPr>
      <w:r w:rsidRPr="004B0B16">
        <w:t>Experiment</w:t>
      </w:r>
      <w:r>
        <w:t>ální část</w:t>
      </w:r>
    </w:p>
    <w:p w:rsidR="008E2A91" w:rsidRDefault="008E2A91" w:rsidP="008E2A91">
      <w:pPr>
        <w:pStyle w:val="JetrText"/>
      </w:pPr>
      <w:r w:rsidRPr="004B0B16">
        <w:t>Brittonův-Robinsonův pufr (BRB, pH 2-12) byl připravován mícháním kyselé a alkalické složky pod pH-metrem. Kyselou složku tvořil 0,04M roztok H</w:t>
      </w:r>
      <w:r w:rsidRPr="004B0B16">
        <w:rPr>
          <w:vertAlign w:val="subscript"/>
        </w:rPr>
        <w:t>3</w:t>
      </w:r>
      <w:r w:rsidRPr="004B0B16">
        <w:t>PO</w:t>
      </w:r>
      <w:r w:rsidRPr="004B0B16">
        <w:rPr>
          <w:vertAlign w:val="subscript"/>
        </w:rPr>
        <w:t>4</w:t>
      </w:r>
      <w:r w:rsidRPr="004B0B16">
        <w:t>, H</w:t>
      </w:r>
      <w:r w:rsidRPr="004B0B16">
        <w:rPr>
          <w:vertAlign w:val="subscript"/>
        </w:rPr>
        <w:t>3</w:t>
      </w:r>
      <w:r w:rsidRPr="004B0B16">
        <w:t>BO</w:t>
      </w:r>
      <w:r w:rsidRPr="004B0B16">
        <w:rPr>
          <w:vertAlign w:val="subscript"/>
        </w:rPr>
        <w:t>3</w:t>
      </w:r>
      <w:r w:rsidRPr="004B0B16">
        <w:t xml:space="preserve"> a CH</w:t>
      </w:r>
      <w:r w:rsidRPr="004B0B16">
        <w:rPr>
          <w:vertAlign w:val="subscript"/>
        </w:rPr>
        <w:t>3</w:t>
      </w:r>
      <w:r w:rsidRPr="004B0B16">
        <w:t>COOH a alkalickou byl 0,2M NaOH. 0,1M HNO</w:t>
      </w:r>
      <w:r w:rsidRPr="004B0B16">
        <w:rPr>
          <w:vertAlign w:val="subscript"/>
        </w:rPr>
        <w:t>3</w:t>
      </w:r>
      <w:r w:rsidRPr="004B0B16">
        <w:t xml:space="preserve"> byla ředěna z koncentrované 65% HNO</w:t>
      </w:r>
      <w:r w:rsidRPr="004B0B16">
        <w:rPr>
          <w:vertAlign w:val="subscript"/>
        </w:rPr>
        <w:t>3</w:t>
      </w:r>
      <w:r w:rsidRPr="004B0B16">
        <w:t xml:space="preserve"> (Ing. Petr Švec - PENTA s.r.o., Praha). 1×10</w:t>
      </w:r>
      <w:r w:rsidRPr="004B0B16">
        <w:rPr>
          <w:vertAlign w:val="superscript"/>
        </w:rPr>
        <w:t>−3</w:t>
      </w:r>
      <w:r w:rsidRPr="004B0B16">
        <w:t xml:space="preserve">M roztoky DFC, TBC a TTC (Sigma-Aldrich) byly připraveny rozpuštěním příslušné navážky v acetonitrilu (Ing. Petr Švec - PENTA s.r.o., </w:t>
      </w:r>
      <w:r w:rsidRPr="004B0B16">
        <w:lastRenderedPageBreak/>
        <w:t>Praha) a uchováván</w:t>
      </w:r>
      <w:r w:rsidR="008D524B">
        <w:t>y</w:t>
      </w:r>
      <w:r w:rsidRPr="004B0B16">
        <w:t xml:space="preserve"> v lednici. Roztoky s nižší koncentrací byly připravovány jejich ředěním BRB denně čerstvé. Pro interferenční studii byly připraveny roztoky dalších pesticidních látek o koncentraci 1×10</w:t>
      </w:r>
      <w:r w:rsidRPr="004B0B16">
        <w:rPr>
          <w:vertAlign w:val="superscript"/>
        </w:rPr>
        <w:t>−3</w:t>
      </w:r>
      <w:r w:rsidR="008D524B">
        <w:rPr>
          <w:vertAlign w:val="superscript"/>
        </w:rPr>
        <w:t> </w:t>
      </w:r>
      <w:r w:rsidRPr="004B0B16">
        <w:t xml:space="preserve">M (Sigma-Aldrich), a to rozpuštěním ve vhodném rozpouštědle dle rozpustnosti (destilovaná voda, metanol, acetonitril). Analyzovány byly pesticidní přípravky s obsahem DFC – SCORE 250 EC (250 g/l) a ASCON (125 g/l, oba Syngenta </w:t>
      </w:r>
      <w:proofErr w:type="spellStart"/>
      <w:r w:rsidRPr="004B0B16">
        <w:t>Crop</w:t>
      </w:r>
      <w:proofErr w:type="spellEnd"/>
      <w:r w:rsidRPr="004B0B16">
        <w:t xml:space="preserve"> </w:t>
      </w:r>
      <w:proofErr w:type="spellStart"/>
      <w:r w:rsidRPr="004B0B16">
        <w:t>Protection</w:t>
      </w:r>
      <w:proofErr w:type="spellEnd"/>
      <w:r w:rsidRPr="004B0B16">
        <w:t xml:space="preserve"> AG, Švýcarsko), TBC – HORIZON 250 EW (250 g/l, Bayer </w:t>
      </w:r>
      <w:proofErr w:type="spellStart"/>
      <w:r w:rsidRPr="004B0B16">
        <w:t>CorpScience</w:t>
      </w:r>
      <w:proofErr w:type="spellEnd"/>
      <w:r w:rsidRPr="004B0B16">
        <w:t xml:space="preserve"> AG, Německo) a TTC – SAPROL (10 g/l, </w:t>
      </w:r>
      <w:proofErr w:type="spellStart"/>
      <w:r w:rsidRPr="004B0B16">
        <w:t>Scotts</w:t>
      </w:r>
      <w:proofErr w:type="spellEnd"/>
      <w:r w:rsidRPr="004B0B16">
        <w:t xml:space="preserve"> </w:t>
      </w:r>
      <w:proofErr w:type="spellStart"/>
      <w:r w:rsidRPr="004B0B16">
        <w:t>Celaflor</w:t>
      </w:r>
      <w:proofErr w:type="spellEnd"/>
      <w:r w:rsidRPr="004B0B16">
        <w:t xml:space="preserve"> </w:t>
      </w:r>
      <w:proofErr w:type="spellStart"/>
      <w:r w:rsidRPr="004B0B16">
        <w:t>Handelsgesellschaft</w:t>
      </w:r>
      <w:proofErr w:type="spellEnd"/>
      <w:r w:rsidRPr="004B0B16">
        <w:t xml:space="preserve"> </w:t>
      </w:r>
      <w:proofErr w:type="spellStart"/>
      <w:proofErr w:type="gramStart"/>
      <w:r w:rsidRPr="004B0B16">
        <w:t>m.b.H</w:t>
      </w:r>
      <w:proofErr w:type="spellEnd"/>
      <w:r w:rsidRPr="004B0B16">
        <w:t>.</w:t>
      </w:r>
      <w:proofErr w:type="gramEnd"/>
      <w:r w:rsidRPr="004B0B16">
        <w:t>, Rakousko).</w:t>
      </w:r>
    </w:p>
    <w:p w:rsidR="008D524B" w:rsidRDefault="008D524B" w:rsidP="008E2A91">
      <w:pPr>
        <w:pStyle w:val="JetrText"/>
        <w:rPr>
          <w:lang w:val="en-US"/>
        </w:rPr>
      </w:pPr>
    </w:p>
    <w:p w:rsidR="003434FC" w:rsidRPr="004B0B16" w:rsidRDefault="003434FC" w:rsidP="003434FC">
      <w:pPr>
        <w:pStyle w:val="JetrText"/>
        <w:jc w:val="center"/>
      </w:pP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5A514D" wp14:editId="49EDE9D6">
                <wp:simplePos x="0" y="0"/>
                <wp:positionH relativeFrom="column">
                  <wp:posOffset>5194935</wp:posOffset>
                </wp:positionH>
                <wp:positionV relativeFrom="paragraph">
                  <wp:posOffset>1010285</wp:posOffset>
                </wp:positionV>
                <wp:extent cx="247650" cy="1403985"/>
                <wp:effectExtent l="0" t="0" r="0" b="0"/>
                <wp:wrapNone/>
                <wp:docPr id="5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434FC" w:rsidRPr="003434FC" w:rsidRDefault="003434FC" w:rsidP="003434FC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5E5A514D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409.05pt;margin-top:79.55pt;width:19.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vZlFQIAAPcDAAAOAAAAZHJzL2Uyb0RvYy54bWysU1Fu2zAM/R+wOwj6X+x4cZsYcYquXYYB&#10;3Vqg3QEUWY6FSaImKbGzG/Ucu9goOU2D7W+YPwTRJB/5Hqnl1aAV2QvnJZiaTic5JcJwaKTZ1vTb&#10;0/rdnBIfmGmYAiNqehCeXq3evln2thIFdKAa4QiCGF/1tqZdCLbKMs87oZmfgBUGnS04zQKabps1&#10;jvWIrlVW5PlF1oNrrAMuvMe/t6OTrhJ+2woe7tvWi0BUTbG3kE6Xzk08s9WSVVvHbCf5sQ32D11o&#10;Jg0WPUHdssDIzsm/oLTkDjy0YcJBZ9C2kovEAdlM8z/YPHbMisQFxfH2JJP/f7D86/7BEdnUtKTE&#10;MI0jehJDgP2vZ2JBCVJEiXrrK4x8tBgbhg8w4KgTXW/vgH/3xMBNx8xWXDsHfSdYgy1OY2Z2ljri&#10;+Aiy6b9Ag7XYLkACGlqno36oCEF0HNXhNB7sh3D8WcwuL0r0cHRNZ/n7xbxMJVj1km2dD58EaBIv&#10;NXU4/oTO9nc+xG5Y9RISixlYS6XSCihD+pouyqJMCWceLQNuqJK6pvM8fuPORJIfTZOSA5NqvGMB&#10;ZY6sI9GRchg2AwZGKTbQHJC/g3ET8eXgpQP3k5Iet7Cm/seOOUGJ+mxQw8V0Notrm4xZeVmg4c49&#10;m3MPMxyhahooGa83Ia165OrtNWq9lkmG106OveJ2JXWOLyGu77mdol7f6+o3AAAA//8DAFBLAwQU&#10;AAYACAAAACEA8sb5mN4AAAALAQAADwAAAGRycy9kb3ducmV2LnhtbEyPzU7DMBCE70i8g7VI3Kid&#10;oFIT4lQVasuRUiLObrwkEfGPYjcNb89ygtus5tPsTLme7cAmHGPvnYJsIYCha7zpXaugft/dSWAx&#10;aWf04B0q+MYI6+r6qtSF8Rf3htMxtYxCXCy0gi6lUHAemw6tjgsf0JH36UerE51jy82oLxRuB54L&#10;8cCt7h196HTA5w6br+PZKggp7Fcv4+ths91Nov7Y13nfbpW6vZk3T8ASzukPht/6VB0q6nTyZ2ci&#10;GxTITGaEkrF8JEGEXK5InBTcS5EDr0r+f0P1AwAA//8DAFBLAQItABQABgAIAAAAIQC2gziS/gAA&#10;AOEBAAATAAAAAAAAAAAAAAAAAAAAAABbQ29udGVudF9UeXBlc10ueG1sUEsBAi0AFAAGAAgAAAAh&#10;ADj9If/WAAAAlAEAAAsAAAAAAAAAAAAAAAAALwEAAF9yZWxzLy5yZWxzUEsBAi0AFAAGAAgAAAAh&#10;AL/O9mUVAgAA9wMAAA4AAAAAAAAAAAAAAAAALgIAAGRycy9lMm9Eb2MueG1sUEsBAi0AFAAGAAgA&#10;AAAhAPLG+ZjeAAAACwEAAA8AAAAAAAAAAAAAAAAAbwQAAGRycy9kb3ducmV2LnhtbFBLBQYAAAAA&#10;BAAEAPMAAAB6BQAAAAA=&#10;" filled="f" stroked="f">
                <v:textbox style="mso-fit-shape-to-text:t">
                  <w:txbxContent>
                    <w:p w:rsidR="003434FC" w:rsidRPr="003434FC" w:rsidRDefault="003434FC" w:rsidP="003434FC">
                      <w:pPr>
                        <w:rPr>
                          <w:rFonts w:asciiTheme="minorHAnsi" w:hAnsiTheme="minorHAnsi"/>
                          <w:b/>
                        </w:rPr>
                      </w:pPr>
                      <w:r>
                        <w:rPr>
                          <w:rFonts w:asciiTheme="minorHAnsi" w:hAnsiTheme="minorHAnsi"/>
                          <w:b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898A5F" wp14:editId="638E1F79">
                <wp:simplePos x="0" y="0"/>
                <wp:positionH relativeFrom="column">
                  <wp:posOffset>1375410</wp:posOffset>
                </wp:positionH>
                <wp:positionV relativeFrom="paragraph">
                  <wp:posOffset>1009650</wp:posOffset>
                </wp:positionV>
                <wp:extent cx="247650" cy="1403985"/>
                <wp:effectExtent l="0" t="0" r="0" b="0"/>
                <wp:wrapNone/>
                <wp:docPr id="30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434FC" w:rsidRPr="003434FC" w:rsidRDefault="003434FC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 w:rsidRPr="003434FC">
                              <w:rPr>
                                <w:rFonts w:asciiTheme="minorHAnsi" w:hAnsiTheme="minorHAnsi"/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C898A5F" id="_x0000_s1027" type="#_x0000_t202" style="position:absolute;left:0;text-align:left;margin-left:108.3pt;margin-top:79.5pt;width:19.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ZHyGQIAAAAEAAAOAAAAZHJzL2Uyb0RvYy54bWysU1tu2zAQ/C/QOxD8ryUrdmwLloM0qYsC&#10;6QNIegCKoiyiJJclaUvujXqOXqxLynGM9q+oPgiulju7MxyubwatyEE4L8FUdDrJKRGGQyPNrqJf&#10;n7ZvlpT4wEzDFBhR0aPw9Gbz+tW6t6UooAPVCEcQxPiytxXtQrBllnneCc38BKwwmGzBaRYwdLus&#10;caxHdK2yIs+vsx5cYx1w4T3+vR+TdJPw21bw8LltvQhEVRRnC2l1aa3jmm3WrNw5ZjvJT2Owf5hC&#10;M2mw6RnqngVG9k7+BaUld+ChDRMOOoO2lVwkDshmmv/B5rFjViQuKI63Z5n8/4Plnw5fHJFNRa/y&#10;BSWGabykJzEEOPz6SSwoQYooUm99iWcfLZ4Ow1sY8LITYW8fgH/zxMBdx8xO3DoHfSdYg0NOY2V2&#10;UTri+AhS9x+hwV5sHyABDa3TUUHUhCA6XtbxfEE4D+H4s5gtrueY4ZiazvKr1XKeWrDyudo6H94L&#10;0CRuKurQAAmdHR58iNOw8vlIbGZgK5VKJlCG9BVdzYt5KrjIaBnQo0rqii7z+I2uiSTfmSYVBybV&#10;uMcGypxYR6Ij5TDUQ1I5SRIVqaE5ogwORkviE8JNB+4HJT3asaL++545QYn6YFDK1XQ2i/5NwWy+&#10;KDBwl5n6MsMMR6iKBkrG7V1Ino+Uvb1FybcyqfEyyWlktFkS6fQkoo8v43Tq5eFufgMAAP//AwBQ&#10;SwMEFAAGAAgAAAAhAAEaz4LfAAAACwEAAA8AAABkcnMvZG93bnJldi54bWxMj8FOwzAQRO9I/IO1&#10;SNyonaCENo1TVagtR0qJOLuxSSLitRW7afh7lhMcd+ZpdqbczHZgkxlD71BCshDADDZO99hKqN/3&#10;D0tgISrUanBoJHybAJvq9qZUhXZXfDPTKbaMQjAUSkIXoy84D01nrAoL5w2S9+lGqyKdY8v1qK4U&#10;bgeeCpFzq3qkD53y5rkzzdfpYiX46A9PL+PrcbvbT6L+ONRp3+6kvL+bt2tg0czxD4bf+lQdKup0&#10;dhfUgQ0S0iTPCSUjW9EoItIsI+Us4XEpEuBVyf9vqH4AAAD//wMAUEsBAi0AFAAGAAgAAAAhALaD&#10;OJL+AAAA4QEAABMAAAAAAAAAAAAAAAAAAAAAAFtDb250ZW50X1R5cGVzXS54bWxQSwECLQAUAAYA&#10;CAAAACEAOP0h/9YAAACUAQAACwAAAAAAAAAAAAAAAAAvAQAAX3JlbHMvLnJlbHNQSwECLQAUAAYA&#10;CAAAACEA1BmR8hkCAAAABAAADgAAAAAAAAAAAAAAAAAuAgAAZHJzL2Uyb0RvYy54bWxQSwECLQAU&#10;AAYACAAAACEAARrPgt8AAAALAQAADwAAAAAAAAAAAAAAAABzBAAAZHJzL2Rvd25yZXYueG1sUEsF&#10;BgAAAAAEAAQA8wAAAH8FAAAAAA==&#10;" filled="f" stroked="f">
                <v:textbox style="mso-fit-shape-to-text:t">
                  <w:txbxContent>
                    <w:p w:rsidR="003434FC" w:rsidRPr="003434FC" w:rsidRDefault="003434FC">
                      <w:pPr>
                        <w:rPr>
                          <w:rFonts w:asciiTheme="minorHAnsi" w:hAnsiTheme="minorHAnsi"/>
                          <w:b/>
                        </w:rPr>
                      </w:pPr>
                      <w:r w:rsidRPr="003434FC">
                        <w:rPr>
                          <w:rFonts w:asciiTheme="minorHAnsi" w:hAnsiTheme="minorHAnsi"/>
                          <w:b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B6DB0C" wp14:editId="14FE3820">
                <wp:simplePos x="0" y="0"/>
                <wp:positionH relativeFrom="column">
                  <wp:posOffset>3375660</wp:posOffset>
                </wp:positionH>
                <wp:positionV relativeFrom="paragraph">
                  <wp:posOffset>1010285</wp:posOffset>
                </wp:positionV>
                <wp:extent cx="247650" cy="1403985"/>
                <wp:effectExtent l="0" t="0" r="0" b="0"/>
                <wp:wrapNone/>
                <wp:docPr id="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434FC" w:rsidRPr="003434FC" w:rsidRDefault="003434FC" w:rsidP="003434FC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FB6DB0C" id="_x0000_s1028" type="#_x0000_t202" style="position:absolute;left:0;text-align:left;margin-left:265.8pt;margin-top:79.55pt;width:19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8zlFwIAAP4DAAAOAAAAZHJzL2Uyb0RvYy54bWysU9uO0zAQfUfiHyy/06Qh3W2jpqtllyKk&#10;5SLt8gGO4zQWtsfYbpPyR3wHP8bY6ZYK3hB5sOyM58ycM8frm1ErchDOSzA1nc9ySoTh0Eqzq+mX&#10;p+2rJSU+MNMyBUbU9Cg8vdm8fLEebCUK6EG1whEEMb4abE37EGyVZZ73QjM/AysMBjtwmgU8ul3W&#10;OjYgulZZkedX2QCutQ648B7/3k9Bukn4XSd4+NR1XgSiaoq9hbS6tDZxzTZrVu0cs73kpzbYP3Sh&#10;mTRY9Ax1zwIjeyf/gtKSO/DQhRkHnUHXSS4SB2Qzz/9g89gzKxIXFMfbs0z+/8Hyj4fPjsi2piUl&#10;hmkc0ZMYAxx+/iAWlCBFlGiwvsKbjxbvhvENjDjqRNfbB+BfPTFw1zOzE7fOwdAL1mKL85iZXaRO&#10;OD6CNMMHaLEW2wdIQGPndNQPFSGIjqM6nseD/RCOP4vy+mqBEY6heZm/Xi0XqQSrnrOt8+GdAE3i&#10;pqYOx5/Q2eHBh9gNq56vxGIGtlKpZAFlyFDT1aJYpISLiJYBHaqkrukyj9/kmUjyrWlTcmBSTXss&#10;oMyJdSQ6UQ5jMyaNz2I20B5RBgeTIfEB4aYH952SAc1YU/9tz5ygRL03KOVqXpbRvelQLq4LPLjL&#10;SHMZYYYjVE0DJdP2LiTHR8re3qLkW5nUiLOZOjm1jCZLIp0eRHTx5Tnd+v1sN78AAAD//wMAUEsD&#10;BBQABgAIAAAAIQBcQmFh3wAAAAsBAAAPAAAAZHJzL2Rvd25yZXYueG1sTI/BTsMwDIbvSLxDZCRu&#10;LGmnbqNrOk1oG0fGqDhnjddWNEmVZF15e8wJjvb/6ffnYjOZno3oQ+eshGQmgKGtne5sI6H62D+t&#10;gIWorFa9syjhGwNsyvu7QuXa3ew7jqfYMCqxIVcS2hiHnPNQt2hUmLkBLWUX542KNPqGa69uVG56&#10;ngqx4EZ1li60asCXFuuv09VIGOJwWL76t+N2tx9F9Xmo0q7ZSfn4MG3XwCJO8Q+GX31Sh5Kczu5q&#10;dWC9hGyeLAilIHtOgBGRLQVtzhLmK5ECLwv+/4fyBwAA//8DAFBLAQItABQABgAIAAAAIQC2gziS&#10;/gAAAOEBAAATAAAAAAAAAAAAAAAAAAAAAABbQ29udGVudF9UeXBlc10ueG1sUEsBAi0AFAAGAAgA&#10;AAAhADj9If/WAAAAlAEAAAsAAAAAAAAAAAAAAAAALwEAAF9yZWxzLy5yZWxzUEsBAi0AFAAGAAgA&#10;AAAhAGbzzOUXAgAA/gMAAA4AAAAAAAAAAAAAAAAALgIAAGRycy9lMm9Eb2MueG1sUEsBAi0AFAAG&#10;AAgAAAAhAFxCYWHfAAAACwEAAA8AAAAAAAAAAAAAAAAAcQQAAGRycy9kb3ducmV2LnhtbFBLBQYA&#10;AAAABAAEAPMAAAB9BQAAAAA=&#10;" filled="f" stroked="f">
                <v:textbox style="mso-fit-shape-to-text:t">
                  <w:txbxContent>
                    <w:p w:rsidR="003434FC" w:rsidRPr="003434FC" w:rsidRDefault="003434FC" w:rsidP="003434FC">
                      <w:pPr>
                        <w:rPr>
                          <w:rFonts w:asciiTheme="minorHAnsi" w:hAnsiTheme="minorHAnsi"/>
                          <w:b/>
                        </w:rPr>
                      </w:pPr>
                      <w:r>
                        <w:rPr>
                          <w:rFonts w:asciiTheme="minorHAnsi" w:hAnsiTheme="minorHAnsi"/>
                          <w:b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7BBD227" wp14:editId="7B7A1AA6">
            <wp:extent cx="1947600" cy="1368000"/>
            <wp:effectExtent l="0" t="0" r="0" b="3810"/>
            <wp:docPr id="1" name="Obrázek 1" descr="https://www.sigmaaldrich.com/content/dam/sigma-aldrich/structure6/153/mfcd00144119.eps/_jcr_content/renditions/mfcd00144119-lar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gmaaldrich.com/content/dam/sigma-aldrich/structure6/153/mfcd00144119.eps/_jcr_content/renditions/mfcd00144119-larg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7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65D5582" wp14:editId="15A611CE">
            <wp:extent cx="1854000" cy="1296000"/>
            <wp:effectExtent l="0" t="0" r="0" b="0"/>
            <wp:docPr id="2" name="Obrázek 2" descr="https://www.sigmaaldrich.com/content/dam/sigma-aldrich/structure6/106/mfcd00145350.eps/_jcr_content/renditions/mfcd00145350-lar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igmaaldrich.com/content/dam/sigma-aldrich/structure6/106/mfcd00145350.eps/_jcr_content/renditions/mfcd00145350-large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000" cy="12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F05BA72" wp14:editId="39CE5A24">
            <wp:extent cx="1681200" cy="1188000"/>
            <wp:effectExtent l="0" t="0" r="0" b="0"/>
            <wp:docPr id="3" name="Obrázek 3" descr="https://www.sigmaaldrich.com/content/dam/sigma-aldrich/structure7/117/mfcd01632360.eps/_jcr_content/renditions/mfcd01632360-lar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sigmaaldrich.com/content/dam/sigma-aldrich/structure7/117/mfcd01632360.eps/_jcr_content/renditions/mfcd01632360-larg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1200" cy="118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4FC" w:rsidRPr="004B0B16" w:rsidRDefault="003434FC" w:rsidP="00A47B60">
      <w:pPr>
        <w:pStyle w:val="JetrText"/>
      </w:pPr>
      <w:r w:rsidRPr="004B0B16">
        <w:rPr>
          <w:b/>
        </w:rPr>
        <w:t>Obr. 1.</w:t>
      </w:r>
      <w:r w:rsidRPr="004B0B16">
        <w:t xml:space="preserve"> Strukturní vzorec difenoconazolu (A), tebuconazolu (B) a triticonazol</w:t>
      </w:r>
      <w:r w:rsidR="008D524B">
        <w:t>u</w:t>
      </w:r>
      <w:r w:rsidRPr="004B0B16">
        <w:t xml:space="preserve"> (C)</w:t>
      </w:r>
    </w:p>
    <w:p w:rsidR="003434FC" w:rsidRPr="004B0B16" w:rsidRDefault="003434FC" w:rsidP="00A47B60">
      <w:pPr>
        <w:pStyle w:val="JetrText"/>
      </w:pPr>
    </w:p>
    <w:p w:rsidR="007C2E31" w:rsidRPr="004B0B16" w:rsidRDefault="003F3953" w:rsidP="00A47B60">
      <w:pPr>
        <w:pStyle w:val="JetrText"/>
        <w:rPr>
          <w:szCs w:val="27"/>
        </w:rPr>
      </w:pPr>
      <w:r w:rsidRPr="004B0B16">
        <w:t xml:space="preserve">Pro voltametrická měření byl používán Eco-Tribo Polarograph (Polaro-Sensors, Praha) vybavený softwarem </w:t>
      </w:r>
      <w:proofErr w:type="gramStart"/>
      <w:r w:rsidRPr="004B0B16">
        <w:t>POLAR.PRO</w:t>
      </w:r>
      <w:proofErr w:type="gramEnd"/>
      <w:r w:rsidRPr="004B0B16">
        <w:t xml:space="preserve"> (verze 5.1)</w:t>
      </w:r>
      <w:r w:rsidRPr="004B0B16">
        <w:rPr>
          <w:vertAlign w:val="superscript"/>
        </w:rPr>
        <w:t>20</w:t>
      </w:r>
      <w:r w:rsidRPr="004B0B16">
        <w:t xml:space="preserve"> a </w:t>
      </w:r>
      <w:r w:rsidRPr="004B0B16">
        <w:rPr>
          <w:rFonts w:eastAsiaTheme="minorHAnsi"/>
          <w:lang w:eastAsia="en-US"/>
        </w:rPr>
        <w:t>AUTOLAB PGSTAT 12 (Metrohm Autolab, Nizozemí) se softwarem NOVA 1.11.</w:t>
      </w:r>
      <w:r w:rsidRPr="004B0B16">
        <w:t xml:space="preserve"> Měření probíhala v tříelektrodovém uspořádání, kdy jako pracovní elektroda sloužila BDDE s poměrem B/C během depozice 1000 ppm (Windsor Scientific, Velká Británie). Referentní byla nasycená argentchloridová elektroda a pomocnou tvořil platinový drátek (obě Monokrystaly, Turnov). BDDE byla aktivována na začátku práce změřením 20 cyklických voltamogramů v rozsahu potenciálů od −1000 do +2000 mV v prostředí základního elektrolytu. Mezi jednotlivými měřeními nebyla BDDE nijak regenerována.</w:t>
      </w:r>
      <w:r w:rsidR="007C2E31" w:rsidRPr="004B0B16">
        <w:t xml:space="preserve"> </w:t>
      </w:r>
      <w:r w:rsidR="003434FC" w:rsidRPr="004B0B16">
        <w:t xml:space="preserve">Při </w:t>
      </w:r>
      <w:r w:rsidR="0049236B" w:rsidRPr="004B0B16">
        <w:t>studi</w:t>
      </w:r>
      <w:r w:rsidR="0049236B">
        <w:t>u</w:t>
      </w:r>
      <w:r w:rsidR="0049236B" w:rsidRPr="004B0B16">
        <w:t xml:space="preserve"> </w:t>
      </w:r>
      <w:r w:rsidR="003434FC" w:rsidRPr="004B0B16">
        <w:t>voltametrického chování vybraných fungicidů byla použita cyklická voltametrie (CV) a pro vývoj metod jejich stanovení sloužila diferenčně pulzní voltametrie (DPV), resp. square wave voltametrie (SWV).</w:t>
      </w:r>
    </w:p>
    <w:p w:rsidR="007C2E31" w:rsidRPr="004B0B16" w:rsidRDefault="007C2E31" w:rsidP="00A47B60">
      <w:pPr>
        <w:pStyle w:val="JetrText"/>
        <w:rPr>
          <w:szCs w:val="27"/>
        </w:rPr>
      </w:pPr>
    </w:p>
    <w:p w:rsidR="007C2E31" w:rsidRPr="004B0B16" w:rsidRDefault="004D6CBB" w:rsidP="00A47B60">
      <w:pPr>
        <w:pStyle w:val="JetrNadpis"/>
      </w:pPr>
      <w:r>
        <w:t>Výsledky a diskuse</w:t>
      </w:r>
    </w:p>
    <w:p w:rsidR="007C2E31" w:rsidRDefault="004256C7" w:rsidP="00A47B60">
      <w:pPr>
        <w:pStyle w:val="JetrText"/>
      </w:pPr>
      <w:r>
        <w:t>Voltametrické chování DFC, TBC a TTC bylo studováno pomocí BDDE. Bylo zjištěno, že tyto fungicidy poskytují oxidační signály při velmi pozitivních potenciálech. Na Obr. 2A je uveden příklad cyklického voltamogramu TBC v prostředí 0,1M HNO</w:t>
      </w:r>
      <w:r w:rsidRPr="004256C7">
        <w:rPr>
          <w:vertAlign w:val="subscript"/>
        </w:rPr>
        <w:t>3</w:t>
      </w:r>
      <w:r>
        <w:t xml:space="preserve">. Analyt poskytuje jeden oxidační signál kolem potenciálu +1700 mV. Odpovídající katodický signál pozorován nebyl, což svědčí o ireverzibilní reakci. Velmi podobné výsledky byly získány rovněž pro DFC. Opět byl pozorován jeden oxidační pík, a jak je vidět z Obr. 2B, jeho potenciál byl shodný s TBC. Pouze intenzita píku odpovídajícího oxidaci DFC je mnohem vyšší než v případě TBC. Třetí studovanou látkou byl TTC, </w:t>
      </w:r>
      <w:proofErr w:type="gramStart"/>
      <w:r>
        <w:t>který</w:t>
      </w:r>
      <w:proofErr w:type="gramEnd"/>
      <w:r>
        <w:t xml:space="preserve"> poskyt</w:t>
      </w:r>
      <w:r w:rsidR="008D524B">
        <w:t>oval</w:t>
      </w:r>
      <w:r>
        <w:t xml:space="preserve"> 2 oxidační signály, jeden kolem potenciálu +1450 mV a druhý +1800 mV. Ze závislostí výšky píku</w:t>
      </w:r>
      <w:r w:rsidR="003A7C5E">
        <w:t xml:space="preserve"> (</w:t>
      </w:r>
      <w:r w:rsidR="003A7C5E" w:rsidRPr="003A7C5E">
        <w:rPr>
          <w:i/>
        </w:rPr>
        <w:t>I</w:t>
      </w:r>
      <w:r w:rsidR="003A7C5E" w:rsidRPr="003A7C5E">
        <w:rPr>
          <w:vertAlign w:val="subscript"/>
        </w:rPr>
        <w:t>p</w:t>
      </w:r>
      <w:r w:rsidR="003A7C5E">
        <w:t>)</w:t>
      </w:r>
      <w:r>
        <w:t xml:space="preserve"> na pH prostředí (0,1M HNO</w:t>
      </w:r>
      <w:r w:rsidRPr="004256C7">
        <w:rPr>
          <w:vertAlign w:val="subscript"/>
        </w:rPr>
        <w:t>3</w:t>
      </w:r>
      <w:r>
        <w:t xml:space="preserve"> a BRB (pH 2-12)) vyplynulo, že nejlepším prostředím pro stanovení těchto látek je </w:t>
      </w:r>
      <w:r w:rsidR="003A7C5E">
        <w:t>0,1M HNO</w:t>
      </w:r>
      <w:r w:rsidR="003A7C5E" w:rsidRPr="003A7C5E">
        <w:rPr>
          <w:vertAlign w:val="subscript"/>
        </w:rPr>
        <w:t>3</w:t>
      </w:r>
      <w:r w:rsidR="003A7C5E">
        <w:t xml:space="preserve"> pro DFC a TBC a BRB (pH 3) pro TTC.</w:t>
      </w:r>
      <w:r>
        <w:t xml:space="preserve"> </w:t>
      </w:r>
      <w:r w:rsidR="003A7C5E">
        <w:t xml:space="preserve">Ze závislostí </w:t>
      </w:r>
      <w:r w:rsidR="003A7C5E" w:rsidRPr="003A7C5E">
        <w:rPr>
          <w:i/>
        </w:rPr>
        <w:t>I</w:t>
      </w:r>
      <w:r w:rsidR="003A7C5E" w:rsidRPr="003A7C5E">
        <w:rPr>
          <w:vertAlign w:val="subscript"/>
        </w:rPr>
        <w:t>p</w:t>
      </w:r>
      <w:r w:rsidR="003A7C5E">
        <w:t xml:space="preserve"> na rychlosti polarizace (</w:t>
      </w:r>
      <w:r w:rsidR="003A7C5E" w:rsidRPr="003A7C5E">
        <w:rPr>
          <w:i/>
        </w:rPr>
        <w:t>v</w:t>
      </w:r>
      <w:r w:rsidR="003A7C5E">
        <w:t>) vyplynulo, že se ve všech případech jedná o difuzně řízenou reakci.</w:t>
      </w:r>
      <w:r w:rsidR="00B344EB">
        <w:t xml:space="preserve"> Poté byla pozornost věnována možným mechanismům oxidace jednotlivých azolů.</w:t>
      </w:r>
    </w:p>
    <w:p w:rsidR="008E2A91" w:rsidRDefault="008E2A91" w:rsidP="00A47B60">
      <w:pPr>
        <w:pStyle w:val="JetrText"/>
      </w:pPr>
    </w:p>
    <w:p w:rsidR="008E2A91" w:rsidRDefault="008E2A91" w:rsidP="00A47B60">
      <w:pPr>
        <w:pStyle w:val="JetrText"/>
      </w:pPr>
      <w:r>
        <w:t xml:space="preserve">V další fázi práce byla pro všechny studované fungicidy vyvinuta metoda jejich stanovení s využitím modelových roztoků. Byly optimalizovány parametry DPV (DFC, TBC) jako rychlost polarizace, výška a šířka pulzu, nebo SWV (TTC) jako potenciálový krok, amplituda a frekvence. Poté byl vždy testován vliv pretreatmentu BDDE na tvar a intenzitu sledovaných signálů. Elektroda byla upravována anodicky při potenciálu +2200 mV, katodicky při </w:t>
      </w:r>
      <w:r>
        <w:lastRenderedPageBreak/>
        <w:t>potenciálu −1000 mV, cyklováním v rozsahu potenciálů −1000 až +2200 mV a leštěním. Poté byl vždy změřen signál analytu. Výsledky pro TBC jsou uvedeny na obrázku 3. Ukázalo se, že pro všechny 3 látky je nejvhodnější zařazení cyklování na začátku práce s elektrodou. Další regenerace nebo úprava povrchu BDDE mezi jednotlivými měřeními již nebyla nutná.</w:t>
      </w:r>
    </w:p>
    <w:p w:rsidR="008D524B" w:rsidRPr="004B0B16" w:rsidRDefault="008D524B" w:rsidP="00A47B60">
      <w:pPr>
        <w:pStyle w:val="JetrText"/>
      </w:pPr>
    </w:p>
    <w:p w:rsidR="004B0B16" w:rsidRPr="004B0B16" w:rsidRDefault="00360CA1" w:rsidP="00A47B60">
      <w:pPr>
        <w:pStyle w:val="JetrText"/>
        <w:jc w:val="center"/>
        <w:rPr>
          <w:b/>
          <w:bCs/>
          <w:szCs w:val="27"/>
        </w:rPr>
      </w:pP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D66C29" wp14:editId="26006824">
                <wp:simplePos x="0" y="0"/>
                <wp:positionH relativeFrom="column">
                  <wp:posOffset>5242560</wp:posOffset>
                </wp:positionH>
                <wp:positionV relativeFrom="paragraph">
                  <wp:posOffset>131445</wp:posOffset>
                </wp:positionV>
                <wp:extent cx="247650" cy="1403985"/>
                <wp:effectExtent l="0" t="0" r="0" b="0"/>
                <wp:wrapNone/>
                <wp:docPr id="1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0CA1" w:rsidRPr="003434FC" w:rsidRDefault="00360CA1" w:rsidP="00360CA1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DD66C29" id="_x0000_s1029" type="#_x0000_t202" style="position:absolute;left:0;text-align:left;margin-left:412.8pt;margin-top:10.35pt;width:19.5pt;height:110.55pt;z-index:2516674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6H+GAIAAP8DAAAOAAAAZHJzL2Uyb0RvYy54bWysU11u2zAMfh+wOwh6X+y4SZsYcYquXYYB&#10;3Q/Q7gCyLMfCJFGTlNjZjXqOXWyUnGTB9jbMD4Jokh/5faRWt4NWZC+cl2AqOp3klAjDoZFmW9Gv&#10;z5s3C0p8YKZhCoyo6EF4ert+/WrV21IU0IFqhCMIYnzZ24p2IdgyyzzvhGZ+AlYYdLbgNAtoum3W&#10;ONYjulZZkefXWQ+usQ648B7/PoxOuk74bSt4+Ny2XgSiKoq9hXS6dNbxzNYrVm4ds53kxzbYP3Sh&#10;mTRY9Az1wAIjOyf/gtKSO/DQhgkHnUHbSi4SB2Qzzf9g89QxKxIXFMfbs0z+/8HyT/svjsgGZ1dQ&#10;YpjGGT2LIcD+5wuxoAQpoka99SWGPlkMDsNbGDA+8fX2Efg3Twzcd8xsxZ1z0HeCNdjjNGZmF6kj&#10;jo8gdf8RGqzFdgES0NA6HQVESQii46wO5/lgP4Tjz2J2cz1HD0fXdJZfLRfzVIKVp2zrfHgvQJN4&#10;qajD+Sd0tn/0IXbDylNILGZgI5VKO6AM6Su6nBfzlHDh0TLgiiqpK7rI4zcuTST5zjQpOTCpxjsW&#10;UObIOhIdKYehHpLIVycxa2gOKIODcSPxBeGlA/eDkh63saL++445QYn6YFDK5XQ2i+ubjNn8pkDD&#10;XXrqSw8zHKEqGigZr/chrXyk7O0dSr6RSY04m7GTY8u4ZUmk44uIa3xpp6jf73b9CwAA//8DAFBL&#10;AwQUAAYACAAAACEAZ9Vn594AAAAKAQAADwAAAGRycy9kb3ducmV2LnhtbEyPy07DMBBF90j8gzVI&#10;7KjdqKRRiFNVqC1LoESs3XhIIuKHbDcNf8+wosu5c3TnTLWZzcgmDHFwVsJyIYChbZ0ebCeh+dg/&#10;FMBiUlar0VmU8IMRNvXtTaVK7S72Hadj6hiV2FgqCX1KvuQ8tj0aFRfOo6XdlwtGJRpDx3VQFyo3&#10;I8+EyLlRg6ULvfL43GP7fTwbCT75w/olvL5td/tJNJ+HJhu6nZT3d/P2CVjCOf3D8KdP6lCT08md&#10;rY5slFBkjzmhEjKxBkZAka8oOFGwWhbA64pfv1D/AgAA//8DAFBLAQItABQABgAIAAAAIQC2gziS&#10;/gAAAOEBAAATAAAAAAAAAAAAAAAAAAAAAABbQ29udGVudF9UeXBlc10ueG1sUEsBAi0AFAAGAAgA&#10;AAAhADj9If/WAAAAlAEAAAsAAAAAAAAAAAAAAAAALwEAAF9yZWxzLy5yZWxzUEsBAi0AFAAGAAgA&#10;AAAhAJHHof4YAgAA/wMAAA4AAAAAAAAAAAAAAAAALgIAAGRycy9lMm9Eb2MueG1sUEsBAi0AFAAG&#10;AAgAAAAhAGfVZ+feAAAACgEAAA8AAAAAAAAAAAAAAAAAcgQAAGRycy9kb3ducmV2LnhtbFBLBQYA&#10;AAAABAAEAPMAAAB9BQAAAAA=&#10;" filled="f" stroked="f">
                <v:textbox style="mso-fit-shape-to-text:t">
                  <w:txbxContent>
                    <w:p w:rsidR="00360CA1" w:rsidRPr="003434FC" w:rsidRDefault="00360CA1" w:rsidP="00360CA1">
                      <w:pPr>
                        <w:rPr>
                          <w:rFonts w:asciiTheme="minorHAnsi" w:hAnsiTheme="minorHAnsi"/>
                          <w:b/>
                        </w:rPr>
                      </w:pPr>
                      <w:r>
                        <w:rPr>
                          <w:rFonts w:asciiTheme="minorHAnsi" w:hAnsiTheme="minorHAnsi"/>
                          <w:b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AC9986" wp14:editId="188A5CB5">
                <wp:simplePos x="0" y="0"/>
                <wp:positionH relativeFrom="column">
                  <wp:posOffset>441960</wp:posOffset>
                </wp:positionH>
                <wp:positionV relativeFrom="paragraph">
                  <wp:posOffset>130810</wp:posOffset>
                </wp:positionV>
                <wp:extent cx="247650" cy="1403985"/>
                <wp:effectExtent l="0" t="0" r="0" b="0"/>
                <wp:wrapNone/>
                <wp:docPr id="1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0CA1" w:rsidRPr="003434FC" w:rsidRDefault="00360CA1" w:rsidP="00360CA1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 w:rsidRPr="003434FC">
                              <w:rPr>
                                <w:rFonts w:asciiTheme="minorHAnsi" w:hAnsiTheme="minorHAnsi"/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0AC9986" id="_x0000_s1030" type="#_x0000_t202" style="position:absolute;left:0;text-align:left;margin-left:34.8pt;margin-top:10.3pt;width:19.5pt;height:110.5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54TGAIAAP8DAAAOAAAAZHJzL2Uyb0RvYy54bWysU9uO0zAQfUfiHyy/01xId9uo6WrZpQhp&#10;uUi7fIDrOI2F7TG222T5I76DH2PstKWCN0QeLE9m5sycM+PVzagVOQjnJZiGFrOcEmE4tNLsGvrl&#10;afNqQYkPzLRMgRENfRae3qxfvlgNthYl9KBa4QiCGF8PtqF9CLbOMs97oZmfgRUGnR04zQKabpe1&#10;jg2IrlVW5vlVNoBrrQMuvMe/95OTrhN+1wkePnWdF4GohmJvIZ0undt4ZusVq3eO2V7yYxvsH7rQ&#10;TBoseoa6Z4GRvZN/QWnJHXjowoyDzqDrJBeJA7Ip8j/YPPbMisQFxfH2LJP/f7D84+GzI7LF2RWU&#10;GKZxRk9iDHD4+YNYUIKUUaPB+hpDHy0Gh/ENjBif+Hr7APyrJwbuemZ24tY5GHrBWuyxiJnZReqE&#10;4yPIdvgALdZi+wAJaOycjgKiJATRcVbP5/lgP4Tjz7K6vpqjh6OrqPLXy8U8lWD1Kds6H94J0CRe&#10;Gupw/gmdHR58iN2w+hQSixnYSKXSDihDhoYu5+U8JVx4tAy4okrqhi7y+E1LE0m+NW1KDkyq6Y4F&#10;lDmyjkQnymHcjknk6iTmFtpnlMHBtJH4gvDSg/tOyYDb2FD/bc+coES9NyjlsqiquL7JqObXJRru&#10;0rO99DDDEaqhgZLpehfSykfK3t6i5BuZ1IizmTo5toxblkQ6voi4xpd2ivr9bte/AAAA//8DAFBL&#10;AwQUAAYACAAAACEA+6biyt0AAAAJAQAADwAAAGRycy9kb3ducmV2LnhtbEyPzU7DMBCE70i8g7VI&#10;3KjdCKUljVNVqC1HoESc3dhNIuK1ZbtpeHu2J3ranxnNfluuJzuw0YTYO5QwnwlgBhune2wl1F+7&#10;pyWwmBRqNTg0En5NhHV1f1eqQrsLfprxkFpGIRgLJaFLyRecx6YzVsWZ8wZJO7lgVaIxtFwHdaFw&#10;O/BMiJxb1SNd6JQ3r51pfg5nK8Env1+8hfePzXY3ivp7X2d9u5Xy8WHarIAlM6V/M1zxCR0qYjq6&#10;M+rIBgn5S05OCZmgetXFkpojLZ7nC+BVyW8/qP4AAAD//wMAUEsBAi0AFAAGAAgAAAAhALaDOJL+&#10;AAAA4QEAABMAAAAAAAAAAAAAAAAAAAAAAFtDb250ZW50X1R5cGVzXS54bWxQSwECLQAUAAYACAAA&#10;ACEAOP0h/9YAAACUAQAACwAAAAAAAAAAAAAAAAAvAQAAX3JlbHMvLnJlbHNQSwECLQAUAAYACAAA&#10;ACEASOeeExgCAAD/AwAADgAAAAAAAAAAAAAAAAAuAgAAZHJzL2Uyb0RvYy54bWxQSwECLQAUAAYA&#10;CAAAACEA+6biyt0AAAAJAQAADwAAAAAAAAAAAAAAAAByBAAAZHJzL2Rvd25yZXYueG1sUEsFBgAA&#10;AAAEAAQA8wAAAHwFAAAAAA==&#10;" filled="f" stroked="f">
                <v:textbox style="mso-fit-shape-to-text:t">
                  <w:txbxContent>
                    <w:p w:rsidR="00360CA1" w:rsidRPr="003434FC" w:rsidRDefault="00360CA1" w:rsidP="00360CA1">
                      <w:pPr>
                        <w:rPr>
                          <w:rFonts w:asciiTheme="minorHAnsi" w:hAnsiTheme="minorHAnsi"/>
                          <w:b/>
                        </w:rPr>
                      </w:pPr>
                      <w:r w:rsidRPr="003434FC">
                        <w:rPr>
                          <w:rFonts w:asciiTheme="minorHAnsi" w:hAnsiTheme="minorHAnsi"/>
                          <w:b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4B0B16" w:rsidRPr="004B0B16">
        <w:rPr>
          <w:b/>
          <w:bCs/>
          <w:noProof/>
          <w:szCs w:val="27"/>
        </w:rPr>
        <w:drawing>
          <wp:inline distT="0" distB="0" distL="0" distR="0" wp14:anchorId="0F1359FB" wp14:editId="746FBDEF">
            <wp:extent cx="2880000" cy="2160000"/>
            <wp:effectExtent l="0" t="0" r="0" b="0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b/>
          <w:bCs/>
          <w:noProof/>
          <w:szCs w:val="27"/>
        </w:rPr>
        <w:drawing>
          <wp:inline distT="0" distB="0" distL="0" distR="0" wp14:anchorId="631548E8" wp14:editId="429AC4FF">
            <wp:extent cx="2880000" cy="2163600"/>
            <wp:effectExtent l="0" t="0" r="0" b="8255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B0B16" w:rsidRDefault="004B0B16" w:rsidP="004B0B16">
      <w:pPr>
        <w:pStyle w:val="JetrText"/>
      </w:pPr>
      <w:r w:rsidRPr="004B0B16">
        <w:rPr>
          <w:b/>
          <w:bCs/>
          <w:szCs w:val="27"/>
        </w:rPr>
        <w:t xml:space="preserve">Obr. 2. </w:t>
      </w:r>
      <w:r w:rsidR="00360CA1">
        <w:rPr>
          <w:bCs/>
          <w:szCs w:val="27"/>
        </w:rPr>
        <w:t xml:space="preserve">A – </w:t>
      </w:r>
      <w:r w:rsidRPr="004B0B16">
        <w:rPr>
          <w:bCs/>
          <w:szCs w:val="27"/>
        </w:rPr>
        <w:t>Cyklick</w:t>
      </w:r>
      <w:r w:rsidR="006A17D1">
        <w:rPr>
          <w:bCs/>
          <w:szCs w:val="27"/>
        </w:rPr>
        <w:t>é</w:t>
      </w:r>
      <w:r w:rsidRPr="004B0B16">
        <w:rPr>
          <w:bCs/>
          <w:szCs w:val="27"/>
        </w:rPr>
        <w:t xml:space="preserve"> voltamogram</w:t>
      </w:r>
      <w:r w:rsidR="006A17D1">
        <w:rPr>
          <w:bCs/>
          <w:szCs w:val="27"/>
        </w:rPr>
        <w:t>y</w:t>
      </w:r>
      <w:r w:rsidRPr="004B0B16">
        <w:rPr>
          <w:bCs/>
          <w:szCs w:val="27"/>
        </w:rPr>
        <w:t xml:space="preserve"> TBC v prostředí 0,1M HNO</w:t>
      </w:r>
      <w:r w:rsidRPr="004B0B16">
        <w:rPr>
          <w:bCs/>
          <w:szCs w:val="27"/>
          <w:vertAlign w:val="subscript"/>
        </w:rPr>
        <w:t>3</w:t>
      </w:r>
      <w:r w:rsidRPr="004B0B16">
        <w:rPr>
          <w:bCs/>
          <w:szCs w:val="27"/>
        </w:rPr>
        <w:t xml:space="preserve"> získaný na BDDE;</w:t>
      </w:r>
      <w:r>
        <w:rPr>
          <w:bCs/>
          <w:szCs w:val="27"/>
        </w:rPr>
        <w:t xml:space="preserve"> </w:t>
      </w:r>
      <w:r w:rsidRPr="004B0B16">
        <w:rPr>
          <w:bCs/>
          <w:i/>
          <w:szCs w:val="27"/>
        </w:rPr>
        <w:t>v</w:t>
      </w:r>
      <w:r>
        <w:rPr>
          <w:bCs/>
          <w:szCs w:val="27"/>
        </w:rPr>
        <w:t xml:space="preserve"> = 100 mV s</w:t>
      </w:r>
      <w:r w:rsidRPr="004B0B16">
        <w:rPr>
          <w:bCs/>
          <w:szCs w:val="27"/>
          <w:vertAlign w:val="superscript"/>
        </w:rPr>
        <w:t>−1</w:t>
      </w:r>
      <w:r>
        <w:rPr>
          <w:bCs/>
          <w:szCs w:val="27"/>
        </w:rPr>
        <w:t>,</w:t>
      </w:r>
      <w:r w:rsidR="00360CA1">
        <w:rPr>
          <w:bCs/>
          <w:szCs w:val="27"/>
        </w:rPr>
        <w:t xml:space="preserve"> </w:t>
      </w:r>
      <w:proofErr w:type="spellStart"/>
      <w:r w:rsidRPr="004B0B16">
        <w:rPr>
          <w:bCs/>
          <w:i/>
          <w:szCs w:val="27"/>
        </w:rPr>
        <w:t>c</w:t>
      </w:r>
      <w:r w:rsidRPr="004B0B16">
        <w:rPr>
          <w:bCs/>
          <w:szCs w:val="27"/>
          <w:vertAlign w:val="subscript"/>
        </w:rPr>
        <w:t>TBC</w:t>
      </w:r>
      <w:proofErr w:type="spellEnd"/>
      <w:r>
        <w:rPr>
          <w:bCs/>
          <w:szCs w:val="27"/>
        </w:rPr>
        <w:t xml:space="preserve"> = 1×10</w:t>
      </w:r>
      <w:r w:rsidRPr="004B0B16">
        <w:rPr>
          <w:bCs/>
          <w:szCs w:val="27"/>
          <w:vertAlign w:val="superscript"/>
        </w:rPr>
        <w:t>−5</w:t>
      </w:r>
      <w:r>
        <w:rPr>
          <w:bCs/>
          <w:szCs w:val="27"/>
        </w:rPr>
        <w:t xml:space="preserve"> M.</w:t>
      </w:r>
      <w:r w:rsidR="00360CA1">
        <w:rPr>
          <w:bCs/>
          <w:szCs w:val="27"/>
        </w:rPr>
        <w:t xml:space="preserve"> B – DP voltamogramy po přídavku DFC a TBC v prostředí 0,1M HNO</w:t>
      </w:r>
      <w:r w:rsidR="00360CA1" w:rsidRPr="00BF6727">
        <w:rPr>
          <w:bCs/>
          <w:szCs w:val="27"/>
          <w:vertAlign w:val="subscript"/>
        </w:rPr>
        <w:t>3</w:t>
      </w:r>
      <w:r w:rsidR="00360CA1">
        <w:rPr>
          <w:bCs/>
          <w:szCs w:val="27"/>
        </w:rPr>
        <w:t xml:space="preserve">; </w:t>
      </w:r>
      <w:proofErr w:type="spellStart"/>
      <w:r w:rsidR="00360CA1" w:rsidRPr="00360CA1">
        <w:rPr>
          <w:bCs/>
          <w:i/>
          <w:szCs w:val="27"/>
        </w:rPr>
        <w:t>c</w:t>
      </w:r>
      <w:r w:rsidR="00360CA1" w:rsidRPr="00360CA1">
        <w:rPr>
          <w:bCs/>
          <w:szCs w:val="27"/>
          <w:vertAlign w:val="subscript"/>
        </w:rPr>
        <w:t>DFC</w:t>
      </w:r>
      <w:proofErr w:type="spellEnd"/>
      <w:r w:rsidR="00360CA1">
        <w:rPr>
          <w:bCs/>
          <w:szCs w:val="27"/>
        </w:rPr>
        <w:t xml:space="preserve"> = </w:t>
      </w:r>
      <w:r w:rsidR="00360CA1">
        <w:t>1</w:t>
      </w:r>
      <w:r w:rsidR="00360CA1" w:rsidRPr="004373B8">
        <w:t>×10</w:t>
      </w:r>
      <w:r w:rsidR="00360CA1" w:rsidRPr="004373B8">
        <w:rPr>
          <w:vertAlign w:val="superscript"/>
        </w:rPr>
        <w:t>−6</w:t>
      </w:r>
      <w:r w:rsidR="00360CA1">
        <w:t xml:space="preserve"> M, </w:t>
      </w:r>
      <w:proofErr w:type="spellStart"/>
      <w:r w:rsidR="00360CA1" w:rsidRPr="00360CA1">
        <w:rPr>
          <w:i/>
        </w:rPr>
        <w:t>c</w:t>
      </w:r>
      <w:r w:rsidR="00360CA1" w:rsidRPr="00360CA1">
        <w:rPr>
          <w:vertAlign w:val="subscript"/>
        </w:rPr>
        <w:t>TBC</w:t>
      </w:r>
      <w:proofErr w:type="spellEnd"/>
      <w:r w:rsidR="00360CA1">
        <w:t xml:space="preserve"> = 0, 1</w:t>
      </w:r>
      <w:r w:rsidR="00360CA1" w:rsidRPr="004373B8">
        <w:t>×10</w:t>
      </w:r>
      <w:r w:rsidR="00360CA1" w:rsidRPr="004373B8">
        <w:rPr>
          <w:vertAlign w:val="superscript"/>
        </w:rPr>
        <w:t>−</w:t>
      </w:r>
      <w:r w:rsidR="00360CA1">
        <w:rPr>
          <w:vertAlign w:val="superscript"/>
        </w:rPr>
        <w:t>7</w:t>
      </w:r>
      <w:r w:rsidR="00360CA1">
        <w:t>, 1</w:t>
      </w:r>
      <w:r w:rsidR="00360CA1" w:rsidRPr="004373B8">
        <w:t>×10</w:t>
      </w:r>
      <w:r w:rsidR="00360CA1" w:rsidRPr="004373B8">
        <w:rPr>
          <w:vertAlign w:val="superscript"/>
        </w:rPr>
        <w:t>−6</w:t>
      </w:r>
      <w:r w:rsidR="00360CA1">
        <w:t xml:space="preserve"> a 1</w:t>
      </w:r>
      <w:r w:rsidR="00360CA1" w:rsidRPr="004373B8">
        <w:t>×10</w:t>
      </w:r>
      <w:r w:rsidR="00360CA1" w:rsidRPr="004373B8">
        <w:rPr>
          <w:vertAlign w:val="superscript"/>
        </w:rPr>
        <w:t>−</w:t>
      </w:r>
      <w:r w:rsidR="00360CA1">
        <w:rPr>
          <w:vertAlign w:val="superscript"/>
        </w:rPr>
        <w:t>5</w:t>
      </w:r>
      <w:r w:rsidR="00360CA1">
        <w:t xml:space="preserve"> M.</w:t>
      </w:r>
    </w:p>
    <w:p w:rsidR="00B37BFA" w:rsidRDefault="00B37BFA" w:rsidP="004B0B16">
      <w:pPr>
        <w:pStyle w:val="JetrText"/>
      </w:pPr>
    </w:p>
    <w:p w:rsidR="007C2E31" w:rsidRDefault="006A17D1" w:rsidP="00A47B60">
      <w:pPr>
        <w:pStyle w:val="JetrText"/>
        <w:rPr>
          <w:rFonts w:eastAsia="Arial Unicode MS"/>
          <w:lang w:val="en-US"/>
        </w:rPr>
      </w:pP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DD0FA7" wp14:editId="3BAE2580">
                <wp:simplePos x="0" y="0"/>
                <wp:positionH relativeFrom="column">
                  <wp:posOffset>538480</wp:posOffset>
                </wp:positionH>
                <wp:positionV relativeFrom="paragraph">
                  <wp:posOffset>1370330</wp:posOffset>
                </wp:positionV>
                <wp:extent cx="247650" cy="248285"/>
                <wp:effectExtent l="0" t="0" r="0" b="0"/>
                <wp:wrapNone/>
                <wp:docPr id="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2482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7D1" w:rsidRPr="003434FC" w:rsidRDefault="006A17D1" w:rsidP="006A17D1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 w:rsidRPr="003434FC">
                              <w:rPr>
                                <w:rFonts w:asciiTheme="minorHAnsi" w:hAnsiTheme="minorHAnsi"/>
                                <w:b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0DD0FA7" id="_x0000_s1031" type="#_x0000_t202" style="position:absolute;left:0;text-align:left;margin-left:42.4pt;margin-top:107.9pt;width:19.5pt;height:19.5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F8XFAIAAP4DAAAOAAAAZHJzL2Uyb0RvYy54bWysU11u2zAMfh+wOwh6X5wYSZMadYquXYcB&#10;3Q/Q7gCMLMfCJFGTlNjZjXaOXWyUnKbB9jbMD4Jokh/5faSurgej2V76oNDWfDaZciatwEbZbc2/&#10;Pt2/WXEWItgGNFpZ84MM/Hr9+tVV7ypZYoe6kZ4RiA1V72rexeiqogiikwbCBJ205GzRG4hk+m3R&#10;eOgJ3eiinE4vih594zwKGQL9vRudfJ3x21aK+Lltg4xM15x6i/n0+dyks1hfQbX14Doljm3AP3Rh&#10;QFkqeoK6gwhs59VfUEYJjwHbOBFoCmxbJWTmQGxm0z/YPHbgZOZC4gR3kin8P1jxaf/FM9XQ7Jac&#10;WTA0oyc5RNz/+skcasnKpFHvQkWhj46C4/AWB4rPfIN7QPEtMIu3HditvPEe+05CQz3OUmZxljri&#10;hASy6T9iQ7VgFzEDDa03SUCShBE6zepwmg/1wwT9LOfLiwV5BLnK+apcLXIFqJ6TnQ/xvUTD0qXm&#10;nsafwWH/EGJqBqrnkFTL4r3SOq+Atqyv+eWiXOSEM49RkTZUK1Pz1TR9484kju9sk5MjKD3eqYC2&#10;R9KJ58g4Dpsha5z7TYJssDmQCh7HhaQHRJcO/Q/OelrGmofvO/CSM/3BkpKXs/k8bW825otlSYY/&#10;92zOPWAFQdU8cjZeb2Pe+JHyDSneqqzGSyfHlmnJskjHB5G2+NzOUS/Pdv0bAAD//wMAUEsDBBQA&#10;BgAIAAAAIQDoiV5o3QAAAAoBAAAPAAAAZHJzL2Rvd25yZXYueG1sTI9BT8MwDIXvSPyHyEjcWLLS&#10;TltpOk1DXEFsgMQta7y2onGqJlvLv8c7sduz39Pz52I9uU6ccQitJw3zmQKBVHnbUq3hY//ysAQR&#10;oiFrOk+o4RcDrMvbm8Lk1o/0juddrAWXUMiNhibGPpcyVA06E2a+R2Lv6AdnIo9DLe1gRi53nUyU&#10;WkhnWuILjelx22D1szs5DZ+vx++vVL3Vzy7rRz8pSW4ltb6/mzZPICJO8T8MF3xGh5KZDv5ENohO&#10;wzJl8qghmWcsLoHkkcWBN1m6AlkW8vqF8g8AAP//AwBQSwECLQAUAAYACAAAACEAtoM4kv4AAADh&#10;AQAAEwAAAAAAAAAAAAAAAAAAAAAAW0NvbnRlbnRfVHlwZXNdLnhtbFBLAQItABQABgAIAAAAIQA4&#10;/SH/1gAAAJQBAAALAAAAAAAAAAAAAAAAAC8BAABfcmVscy8ucmVsc1BLAQItABQABgAIAAAAIQAj&#10;7F8XFAIAAP4DAAAOAAAAAAAAAAAAAAAAAC4CAABkcnMvZTJvRG9jLnhtbFBLAQItABQABgAIAAAA&#10;IQDoiV5o3QAAAAoBAAAPAAAAAAAAAAAAAAAAAG4EAABkcnMvZG93bnJldi54bWxQSwUGAAAAAAQA&#10;BADzAAAAeAUAAAAA&#10;" filled="f" stroked="f">
                <v:textbox>
                  <w:txbxContent>
                    <w:p w:rsidR="006A17D1" w:rsidRPr="003434FC" w:rsidRDefault="006A17D1" w:rsidP="006A17D1">
                      <w:pPr>
                        <w:rPr>
                          <w:rFonts w:asciiTheme="minorHAnsi" w:hAnsiTheme="minorHAnsi"/>
                          <w:b/>
                        </w:rPr>
                      </w:pPr>
                      <w:r w:rsidRPr="003434FC">
                        <w:rPr>
                          <w:rFonts w:asciiTheme="minorHAnsi" w:hAnsiTheme="minorHAnsi"/>
                          <w:b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3434FC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300B27A" wp14:editId="0CCBC8A5">
                <wp:simplePos x="0" y="0"/>
                <wp:positionH relativeFrom="column">
                  <wp:posOffset>4852035</wp:posOffset>
                </wp:positionH>
                <wp:positionV relativeFrom="paragraph">
                  <wp:posOffset>102235</wp:posOffset>
                </wp:positionV>
                <wp:extent cx="247650" cy="1403985"/>
                <wp:effectExtent l="0" t="0" r="0" b="0"/>
                <wp:wrapNone/>
                <wp:docPr id="18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7D1" w:rsidRPr="003434FC" w:rsidRDefault="006A17D1" w:rsidP="006A17D1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4300B27A" id="_x0000_s1032" type="#_x0000_t202" style="position:absolute;left:0;text-align:left;margin-left:382.05pt;margin-top:8.05pt;width:19.5pt;height:110.5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g1GAIAAP8DAAAOAAAAZHJzL2Uyb0RvYy54bWysU12O0zAQfkfiDpbfadLQdtuo6WrZpQhp&#10;+ZF2OYDjOI2F7TG226TciHNwMcZOWyp4Q+TB8mRmvpnvm/H6dtCKHITzEkxFp5OcEmE4NNLsKvrl&#10;eftqSYkPzDRMgREVPQpPbzcvX6x7W4oCOlCNcARBjC97W9EuBFtmmeed0MxPwAqDzhacZgFNt8sa&#10;x3pE1yor8nyR9eAa64AL7/Hvw+ikm4TftoKHT23rRSCqothbSKdLZx3PbLNm5c4x20l+aoP9Qxea&#10;SYNFL1APLDCyd/IvKC25Aw9tmHDQGbSt5CJxQDbT/A82Tx2zInFBcby9yOT/Hyz/ePjsiGxwdjgp&#10;wzTO6FkMAQ4/fxALSpAiatRbX2Lok8XgMLyBAeMTX28fgX/1xMB9x8xO3DkHfSdYgz1OY2Z2lTri&#10;+AhS9x+gwVpsHyABDa3TUUCUhCA6zup4mQ/2Qzj+LGY3izl6OLqms/z1ajlPJVh5zrbOh3cCNImX&#10;ijqcf0Jnh0cfYjesPIfEYga2Uqm0A8qQvqKreTFPCVceLQOuqJK6oss8fuPSRJJvTZOSA5NqvGMB&#10;ZU6sI9GRchjqIYm8OItZQ3NEGRyMG4kvCC8duO+U9LiNFfXf9swJStR7g1KuprNZXN9kzOY3BRru&#10;2lNfe5jhCFXRQMl4vQ9p5SNlb+9Q8q1MasTZjJ2cWsYtSyKdXkRc42s7Rf1+t5tfAAAA//8DAFBL&#10;AwQUAAYACAAAACEAIISlr94AAAAKAQAADwAAAGRycy9kb3ducmV2LnhtbEyPzU7DMBCE70i8g7VI&#10;3KjdFCVViFNVqC1HoESc3XhJIuIf2W4a3p7lRE+7qxnNflNtZjOyCUMcnJWwXAhgaFunB9tJaD72&#10;D2tgMSmr1egsSvjBCJv69qZSpXYX+47TMXWMQmwslYQ+JV9yHtsejYoL59GS9uWCUYnO0HEd1IXC&#10;zcgzIXJu1GDpQ688PvfYfh/PRoJP/lC8hNe37W4/iebz0GRDt5Py/m7ePgFLOKd/M/zhEzrUxHRy&#10;Z6sjGyUU+eOSrCTkNMmwFitaThKyVZEBryt+XaH+BQAA//8DAFBLAQItABQABgAIAAAAIQC2gziS&#10;/gAAAOEBAAATAAAAAAAAAAAAAAAAAAAAAABbQ29udGVudF9UeXBlc10ueG1sUEsBAi0AFAAGAAgA&#10;AAAhADj9If/WAAAAlAEAAAsAAAAAAAAAAAAAAAAALwEAAF9yZWxzLy5yZWxzUEsBAi0AFAAGAAgA&#10;AAAhABBLODUYAgAA/wMAAA4AAAAAAAAAAAAAAAAALgIAAGRycy9lMm9Eb2MueG1sUEsBAi0AFAAG&#10;AAgAAAAhACCEpa/eAAAACgEAAA8AAAAAAAAAAAAAAAAAcgQAAGRycy9kb3ducmV2LnhtbFBLBQYA&#10;AAAABAAEAPMAAAB9BQAAAAA=&#10;" filled="f" stroked="f">
                <v:textbox style="mso-fit-shape-to-text:t">
                  <w:txbxContent>
                    <w:p w:rsidR="006A17D1" w:rsidRPr="003434FC" w:rsidRDefault="006A17D1" w:rsidP="006A17D1">
                      <w:pPr>
                        <w:rPr>
                          <w:rFonts w:asciiTheme="minorHAnsi" w:hAnsiTheme="minorHAnsi"/>
                          <w:b/>
                        </w:rPr>
                      </w:pPr>
                      <w:r>
                        <w:rPr>
                          <w:rFonts w:asciiTheme="minorHAnsi" w:hAnsiTheme="minorHAnsi"/>
                          <w:b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49374F">
        <w:rPr>
          <w:rFonts w:eastAsia="Arial Unicode MS"/>
          <w:noProof/>
        </w:rPr>
        <w:drawing>
          <wp:inline distT="0" distB="0" distL="0" distR="0" wp14:anchorId="6915CBA9" wp14:editId="0432EFD6">
            <wp:extent cx="2880000" cy="2163600"/>
            <wp:effectExtent l="0" t="0" r="0" b="8255"/>
            <wp:docPr id="13" name="Obráze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9374F">
        <w:rPr>
          <w:rFonts w:eastAsia="Arial Unicode MS"/>
          <w:noProof/>
        </w:rPr>
        <w:drawing>
          <wp:inline distT="0" distB="0" distL="0" distR="0" wp14:anchorId="4BB4DA6A" wp14:editId="742BE0DC">
            <wp:extent cx="2880000" cy="2163600"/>
            <wp:effectExtent l="0" t="0" r="0" b="8255"/>
            <wp:docPr id="16" name="Obráze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A17D1" w:rsidRDefault="006A17D1" w:rsidP="00A47B60">
      <w:pPr>
        <w:pStyle w:val="JetrText"/>
        <w:rPr>
          <w:rFonts w:eastAsia="Arial Unicode MS"/>
        </w:rPr>
      </w:pPr>
      <w:r w:rsidRPr="006A17D1">
        <w:rPr>
          <w:rFonts w:eastAsia="Arial Unicode MS"/>
          <w:b/>
        </w:rPr>
        <w:t>Obr. 3.</w:t>
      </w:r>
      <w:r w:rsidRPr="006A17D1">
        <w:rPr>
          <w:rFonts w:eastAsia="Arial Unicode MS"/>
        </w:rPr>
        <w:t xml:space="preserve"> A – DP voltamogramy TBC v prostředí 0,1M HNO</w:t>
      </w:r>
      <w:r w:rsidRPr="006A17D1">
        <w:rPr>
          <w:rFonts w:eastAsia="Arial Unicode MS"/>
          <w:vertAlign w:val="subscript"/>
        </w:rPr>
        <w:t>3</w:t>
      </w:r>
      <w:r w:rsidRPr="006A17D1">
        <w:rPr>
          <w:rFonts w:eastAsia="Arial Unicode MS"/>
        </w:rPr>
        <w:t xml:space="preserve"> získané na BDDE po různém postupu předúpravy elektrod</w:t>
      </w:r>
      <w:r>
        <w:rPr>
          <w:rFonts w:eastAsia="Arial Unicode MS"/>
        </w:rPr>
        <w:t xml:space="preserve">y; </w:t>
      </w:r>
      <w:proofErr w:type="spellStart"/>
      <w:r w:rsidRPr="006A17D1">
        <w:rPr>
          <w:rFonts w:eastAsia="Arial Unicode MS"/>
          <w:i/>
        </w:rPr>
        <w:t>c</w:t>
      </w:r>
      <w:r w:rsidRPr="006A17D1">
        <w:rPr>
          <w:rFonts w:eastAsia="Arial Unicode MS"/>
          <w:vertAlign w:val="subscript"/>
        </w:rPr>
        <w:t>TBC</w:t>
      </w:r>
      <w:proofErr w:type="spellEnd"/>
      <w:r>
        <w:rPr>
          <w:rFonts w:eastAsia="Arial Unicode MS"/>
        </w:rPr>
        <w:t xml:space="preserve"> = 5×10</w:t>
      </w:r>
      <w:r w:rsidRPr="006A17D1">
        <w:rPr>
          <w:rFonts w:eastAsia="Arial Unicode MS"/>
          <w:vertAlign w:val="superscript"/>
        </w:rPr>
        <w:t>−5</w:t>
      </w:r>
      <w:r w:rsidR="0034583E" w:rsidRPr="0034583E">
        <w:rPr>
          <w:rFonts w:eastAsia="Arial Unicode MS"/>
        </w:rPr>
        <w:t xml:space="preserve"> </w:t>
      </w:r>
      <w:r>
        <w:rPr>
          <w:rFonts w:eastAsia="Arial Unicode MS"/>
        </w:rPr>
        <w:t>M. B – závislost výšky píku TBC na postupu předúpravy povrchu BDDE.</w:t>
      </w:r>
    </w:p>
    <w:p w:rsidR="000E3638" w:rsidRDefault="000E3638" w:rsidP="00A47B60">
      <w:pPr>
        <w:pStyle w:val="JetrText"/>
        <w:rPr>
          <w:rFonts w:eastAsia="Arial Unicode MS"/>
        </w:rPr>
      </w:pPr>
    </w:p>
    <w:p w:rsidR="000E3638" w:rsidRDefault="00B344EB" w:rsidP="00A47B60">
      <w:pPr>
        <w:pStyle w:val="JetrText"/>
        <w:rPr>
          <w:rFonts w:eastAsia="Arial Unicode MS"/>
        </w:rPr>
      </w:pPr>
      <w:r>
        <w:rPr>
          <w:rFonts w:eastAsia="Arial Unicode MS"/>
        </w:rPr>
        <w:t>Vyvinuté analytické metody byly nejprve aplikovány při analýze modelových roztoků. Byla proměřena řada koncentračních závislostí</w:t>
      </w:r>
      <w:r w:rsidR="00CB1F1E">
        <w:rPr>
          <w:rFonts w:eastAsia="Arial Unicode MS"/>
        </w:rPr>
        <w:t xml:space="preserve"> (Obr. </w:t>
      </w:r>
      <w:r w:rsidR="008D524B">
        <w:rPr>
          <w:rFonts w:eastAsia="Arial Unicode MS"/>
        </w:rPr>
        <w:t>4A</w:t>
      </w:r>
      <w:r w:rsidR="00CB1F1E">
        <w:rPr>
          <w:rFonts w:eastAsia="Arial Unicode MS"/>
        </w:rPr>
        <w:t>)</w:t>
      </w:r>
      <w:r>
        <w:rPr>
          <w:rFonts w:eastAsia="Arial Unicode MS"/>
        </w:rPr>
        <w:t xml:space="preserve"> a pro jednotlivé látky byly stanoveny základní statistické parametry jako lineární dynamický rozsah (</w:t>
      </w:r>
      <w:r w:rsidRPr="00CB1F1E">
        <w:rPr>
          <w:rFonts w:eastAsia="Arial Unicode MS"/>
          <w:i/>
        </w:rPr>
        <w:t>LDR</w:t>
      </w:r>
      <w:r>
        <w:rPr>
          <w:rFonts w:eastAsia="Arial Unicode MS"/>
        </w:rPr>
        <w:t>), limit detekce (</w:t>
      </w:r>
      <w:r w:rsidRPr="00CB1F1E">
        <w:rPr>
          <w:rFonts w:eastAsia="Arial Unicode MS"/>
          <w:i/>
        </w:rPr>
        <w:t>LOD</w:t>
      </w:r>
      <w:r>
        <w:rPr>
          <w:rFonts w:eastAsia="Arial Unicode MS"/>
        </w:rPr>
        <w:t>) a mez stanovitelnosti (</w:t>
      </w:r>
      <w:r w:rsidRPr="00CB1F1E">
        <w:rPr>
          <w:rFonts w:eastAsia="Arial Unicode MS"/>
          <w:i/>
        </w:rPr>
        <w:t>LOQ</w:t>
      </w:r>
      <w:r>
        <w:rPr>
          <w:rFonts w:eastAsia="Arial Unicode MS"/>
        </w:rPr>
        <w:t>).</w:t>
      </w:r>
      <w:r w:rsidR="00CB1F1E">
        <w:rPr>
          <w:rFonts w:eastAsia="Arial Unicode MS"/>
        </w:rPr>
        <w:t xml:space="preserve"> Opakovatelnost měření byla ověřena výpočtem relativní směrodatné odchylky (</w:t>
      </w:r>
      <w:r w:rsidR="00CB1F1E" w:rsidRPr="00CB1F1E">
        <w:rPr>
          <w:rFonts w:eastAsia="Arial Unicode MS"/>
          <w:i/>
        </w:rPr>
        <w:t>RSD</w:t>
      </w:r>
      <w:r w:rsidR="00CB1F1E">
        <w:rPr>
          <w:rFonts w:eastAsia="Arial Unicode MS"/>
        </w:rPr>
        <w:t xml:space="preserve">) z 11 opakovaných měření stejné koncentrace analytu a opakovatelnost stanovení výpočtem </w:t>
      </w:r>
      <w:r w:rsidR="00CB1F1E" w:rsidRPr="00CB1F1E">
        <w:rPr>
          <w:rFonts w:eastAsia="Arial Unicode MS"/>
          <w:i/>
        </w:rPr>
        <w:t>RSD</w:t>
      </w:r>
      <w:r w:rsidR="00CB1F1E">
        <w:rPr>
          <w:rFonts w:eastAsia="Arial Unicode MS"/>
        </w:rPr>
        <w:t xml:space="preserve"> z 5 opakovaných stanovení fungicidů v modelových roztocích o známých koncentracích. Poté byly metody aplikovány při analýze reálných vzorků. Nejprve se jednalo o pitné a přírodní vody, které neobsahovaly detekovatelné množství fungicidů, a proto byly obohacené přídavkem standardních roztoků na vhodné koncentrace. Dalšími vzorky pak byly pesticidní přípravky s obsahem zkoumaných analytů jak samostatně, tak ve směsi s dalšími účinnými látkami. </w:t>
      </w:r>
      <w:r w:rsidR="0049236B">
        <w:rPr>
          <w:rFonts w:eastAsia="Arial Unicode MS"/>
        </w:rPr>
        <w:t>Příklad stanovení DFC v pesticidním přípravku</w:t>
      </w:r>
      <w:r w:rsidR="0049236B">
        <w:rPr>
          <w:rFonts w:eastAsia="Arial Unicode MS"/>
        </w:rPr>
        <w:t xml:space="preserve"> ASKON</w:t>
      </w:r>
      <w:r w:rsidR="0049236B">
        <w:rPr>
          <w:rFonts w:eastAsia="Arial Unicode MS"/>
        </w:rPr>
        <w:t xml:space="preserve"> je znázorněna na obrázku 4B.</w:t>
      </w:r>
      <w:r w:rsidR="0049236B">
        <w:rPr>
          <w:rFonts w:eastAsia="Arial Unicode MS"/>
        </w:rPr>
        <w:t xml:space="preserve"> </w:t>
      </w:r>
      <w:r w:rsidR="00CB1F1E">
        <w:rPr>
          <w:rFonts w:eastAsia="Arial Unicode MS"/>
        </w:rPr>
        <w:t xml:space="preserve">Výsledky těchto analýz byly </w:t>
      </w:r>
      <w:r w:rsidR="00CB1F1E">
        <w:rPr>
          <w:rFonts w:eastAsia="Arial Unicode MS"/>
        </w:rPr>
        <w:lastRenderedPageBreak/>
        <w:t>velmi dobré a potvrdily, že vyvinuté metody jsou použitelné v</w:t>
      </w:r>
      <w:r w:rsidR="0056310B">
        <w:rPr>
          <w:rFonts w:eastAsia="Arial Unicode MS"/>
        </w:rPr>
        <w:t> </w:t>
      </w:r>
      <w:r w:rsidR="00CB1F1E">
        <w:rPr>
          <w:rFonts w:eastAsia="Arial Unicode MS"/>
        </w:rPr>
        <w:t>praxi</w:t>
      </w:r>
      <w:r w:rsidR="0056310B">
        <w:rPr>
          <w:rFonts w:eastAsia="Arial Unicode MS"/>
        </w:rPr>
        <w:t>, např. při kontrole složení pesticidních přípravků</w:t>
      </w:r>
      <w:r w:rsidR="00CB1F1E">
        <w:rPr>
          <w:rFonts w:eastAsia="Arial Unicode MS"/>
        </w:rPr>
        <w:t xml:space="preserve">. </w:t>
      </w:r>
    </w:p>
    <w:p w:rsidR="0034583E" w:rsidRDefault="0034583E" w:rsidP="00A47B60">
      <w:pPr>
        <w:pStyle w:val="JetrText"/>
        <w:rPr>
          <w:rFonts w:eastAsia="Arial Unicode MS"/>
        </w:rPr>
      </w:pPr>
    </w:p>
    <w:p w:rsidR="0034583E" w:rsidRDefault="0034583E" w:rsidP="00A47B60">
      <w:pPr>
        <w:pStyle w:val="JetrText"/>
        <w:rPr>
          <w:rFonts w:eastAsia="Arial Unicode MS"/>
        </w:rPr>
      </w:pPr>
      <w:r>
        <w:rPr>
          <w:rFonts w:eastAsia="Arial Unicode MS"/>
          <w:noProof/>
        </w:rPr>
        <w:drawing>
          <wp:inline distT="0" distB="0" distL="0" distR="0" wp14:anchorId="63404512">
            <wp:extent cx="2880000" cy="2160000"/>
            <wp:effectExtent l="0" t="0" r="0" b="0"/>
            <wp:docPr id="20" name="Obráze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eastAsia="Arial Unicode MS"/>
          <w:noProof/>
        </w:rPr>
        <w:drawing>
          <wp:inline distT="0" distB="0" distL="0" distR="0" wp14:anchorId="4A5F8186">
            <wp:extent cx="2880000" cy="2163600"/>
            <wp:effectExtent l="0" t="0" r="0" b="8255"/>
            <wp:docPr id="21" name="Obráze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16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4583E" w:rsidRDefault="0034583E" w:rsidP="00A47B60">
      <w:pPr>
        <w:pStyle w:val="JetrText"/>
        <w:rPr>
          <w:rFonts w:eastAsia="Arial Unicode MS"/>
        </w:rPr>
      </w:pPr>
      <w:r w:rsidRPr="0034583E">
        <w:rPr>
          <w:rFonts w:eastAsia="Arial Unicode MS"/>
          <w:b/>
        </w:rPr>
        <w:t>Obr. 4.</w:t>
      </w:r>
      <w:r>
        <w:rPr>
          <w:rFonts w:eastAsia="Arial Unicode MS"/>
        </w:rPr>
        <w:t xml:space="preserve"> A – DP voltamogramy DFC v závislosti na koncentraci získané na BDDE; </w:t>
      </w:r>
      <w:proofErr w:type="spellStart"/>
      <w:r w:rsidRPr="0034583E">
        <w:rPr>
          <w:rFonts w:eastAsia="Arial Unicode MS"/>
          <w:i/>
        </w:rPr>
        <w:t>c</w:t>
      </w:r>
      <w:r w:rsidRPr="0034583E">
        <w:rPr>
          <w:rFonts w:eastAsia="Arial Unicode MS"/>
          <w:vertAlign w:val="subscript"/>
        </w:rPr>
        <w:t>DFC</w:t>
      </w:r>
      <w:proofErr w:type="spellEnd"/>
      <w:r>
        <w:rPr>
          <w:rFonts w:eastAsia="Arial Unicode MS"/>
        </w:rPr>
        <w:t xml:space="preserve"> = 1×10</w:t>
      </w:r>
      <w:r w:rsidRPr="0034583E">
        <w:rPr>
          <w:rFonts w:eastAsia="Arial Unicode MS"/>
          <w:vertAlign w:val="superscript"/>
        </w:rPr>
        <w:t>−6</w:t>
      </w:r>
      <w:r>
        <w:rPr>
          <w:rFonts w:eastAsia="Arial Unicode MS"/>
        </w:rPr>
        <w:t>-7×10</w:t>
      </w:r>
      <w:r w:rsidRPr="0034583E">
        <w:rPr>
          <w:rFonts w:eastAsia="Arial Unicode MS"/>
          <w:vertAlign w:val="superscript"/>
        </w:rPr>
        <w:t>−6</w:t>
      </w:r>
      <w:r>
        <w:rPr>
          <w:rFonts w:eastAsia="Arial Unicode MS"/>
        </w:rPr>
        <w:t xml:space="preserve"> M. Vložená závislost výšky píku DFC na koncentraci. B – Stanovení DFC v pesticidním přípravku ASKON metodou standardního přídavku.</w:t>
      </w:r>
    </w:p>
    <w:p w:rsidR="006A17D1" w:rsidRPr="006A17D1" w:rsidRDefault="006A17D1" w:rsidP="00A47B60">
      <w:pPr>
        <w:pStyle w:val="JetrText"/>
        <w:rPr>
          <w:rFonts w:eastAsia="Arial Unicode MS"/>
        </w:rPr>
      </w:pPr>
    </w:p>
    <w:p w:rsidR="007C2E31" w:rsidRPr="00CB1F1E" w:rsidRDefault="004D6CBB" w:rsidP="00A47B60">
      <w:pPr>
        <w:pStyle w:val="JetrNadpis"/>
      </w:pPr>
      <w:r w:rsidRPr="00CB1F1E">
        <w:t>Závěr</w:t>
      </w:r>
    </w:p>
    <w:p w:rsidR="007C2E31" w:rsidRPr="004A5B1E" w:rsidRDefault="004A5B1E" w:rsidP="00A47B60">
      <w:pPr>
        <w:pStyle w:val="JetrText"/>
      </w:pPr>
      <w:r w:rsidRPr="004A5B1E">
        <w:t>V rámci této práce bylo studováno voltametrické chování 3 azolových fungicid</w:t>
      </w:r>
      <w:r>
        <w:t>ů</w:t>
      </w:r>
      <w:r w:rsidRPr="004A5B1E">
        <w:t>. Bylo zjiš</w:t>
      </w:r>
      <w:r>
        <w:t>t</w:t>
      </w:r>
      <w:r w:rsidRPr="004A5B1E">
        <w:t xml:space="preserve">ěno, že </w:t>
      </w:r>
      <w:r>
        <w:t>DFC a TBC poskytují jeden a TTC dva oxidační signály na BDDE. Byly vyvinuty metody stanovení uvedených látek, které byly úspěšně aplikovány při analýze pitných a přírodních vod i pesticidních přípravků.</w:t>
      </w:r>
    </w:p>
    <w:p w:rsidR="007C2E31" w:rsidRPr="00621CFA" w:rsidRDefault="007C2E31" w:rsidP="00A47B60">
      <w:pPr>
        <w:pStyle w:val="JetrText"/>
        <w:rPr>
          <w:lang w:val="en-US"/>
        </w:rPr>
      </w:pPr>
    </w:p>
    <w:p w:rsidR="007C2E31" w:rsidRPr="00CB1F1E" w:rsidRDefault="004D6CBB" w:rsidP="00A47B60">
      <w:pPr>
        <w:pStyle w:val="JetrNadpis"/>
      </w:pPr>
      <w:r w:rsidRPr="00CB1F1E">
        <w:t>Poděkování</w:t>
      </w:r>
    </w:p>
    <w:p w:rsidR="007C2E31" w:rsidRPr="00621CFA" w:rsidRDefault="008B1A25" w:rsidP="00A47B60">
      <w:pPr>
        <w:pStyle w:val="JetrText"/>
        <w:rPr>
          <w:iCs/>
          <w:lang w:val="en-US"/>
        </w:rPr>
      </w:pPr>
      <w:r w:rsidRPr="00794456">
        <w:t xml:space="preserve">Tato práce byla financována z prostředků </w:t>
      </w:r>
      <w:r>
        <w:t>Grantové agentury České republiky</w:t>
      </w:r>
      <w:r w:rsidRPr="00794456">
        <w:t xml:space="preserve"> (proje</w:t>
      </w:r>
      <w:r>
        <w:t>k</w:t>
      </w:r>
      <w:r w:rsidRPr="00794456">
        <w:t xml:space="preserve">t </w:t>
      </w:r>
      <w:r>
        <w:t xml:space="preserve">č. 17-03868S) a </w:t>
      </w:r>
      <w:r w:rsidRPr="00794456">
        <w:t>Univerzity Pardubice (proje</w:t>
      </w:r>
      <w:r>
        <w:t>k</w:t>
      </w:r>
      <w:r w:rsidRPr="00794456">
        <w:t xml:space="preserve">t </w:t>
      </w:r>
      <w:r>
        <w:t>č</w:t>
      </w:r>
      <w:r w:rsidRPr="00794456">
        <w:t>. SGS_201</w:t>
      </w:r>
      <w:r w:rsidR="00F4756D">
        <w:t>9</w:t>
      </w:r>
      <w:r w:rsidRPr="00794456">
        <w:t>_00</w:t>
      </w:r>
      <w:r w:rsidR="00F4756D">
        <w:t>1</w:t>
      </w:r>
      <w:r>
        <w:t>).</w:t>
      </w:r>
    </w:p>
    <w:p w:rsidR="007C2E31" w:rsidRPr="00621CFA" w:rsidRDefault="007C2E31" w:rsidP="00A47B60">
      <w:pPr>
        <w:pStyle w:val="JetrText"/>
        <w:rPr>
          <w:lang w:val="en-US"/>
        </w:rPr>
      </w:pPr>
      <w:bookmarkStart w:id="0" w:name="_GoBack"/>
      <w:bookmarkEnd w:id="0"/>
    </w:p>
    <w:p w:rsidR="007C2E31" w:rsidRPr="00CB1F1E" w:rsidRDefault="004D6CBB" w:rsidP="00A47B60">
      <w:pPr>
        <w:pStyle w:val="JetrNadpis"/>
      </w:pPr>
      <w:r w:rsidRPr="00CB1F1E">
        <w:t>Literatura</w:t>
      </w:r>
      <w:r w:rsidR="005171AD" w:rsidRPr="00CB1F1E">
        <w:t xml:space="preserve"> </w:t>
      </w:r>
    </w:p>
    <w:p w:rsidR="00DF354B" w:rsidRDefault="00DF354B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Mazur C. S., </w:t>
      </w:r>
      <w:proofErr w:type="spellStart"/>
      <w:r>
        <w:rPr>
          <w:lang w:val="en-US"/>
        </w:rPr>
        <w:t>Kenneke</w:t>
      </w:r>
      <w:proofErr w:type="spellEnd"/>
      <w:r>
        <w:rPr>
          <w:lang w:val="en-US"/>
        </w:rPr>
        <w:t xml:space="preserve"> J. F.: Environ. Sci. Technol. </w:t>
      </w:r>
      <w:r w:rsidRPr="00C31F23">
        <w:rPr>
          <w:i/>
          <w:lang w:val="en-US"/>
        </w:rPr>
        <w:t>42</w:t>
      </w:r>
      <w:r>
        <w:rPr>
          <w:lang w:val="en-US"/>
        </w:rPr>
        <w:t>, 947 (2008).</w:t>
      </w:r>
    </w:p>
    <w:p w:rsidR="00DF354B" w:rsidRDefault="00C31F2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Hester S. D., Wolf D. C., </w:t>
      </w:r>
      <w:proofErr w:type="spellStart"/>
      <w:r>
        <w:rPr>
          <w:lang w:val="en-US"/>
        </w:rPr>
        <w:t>Nesnow</w:t>
      </w:r>
      <w:proofErr w:type="spellEnd"/>
      <w:r>
        <w:rPr>
          <w:lang w:val="en-US"/>
        </w:rPr>
        <w:t xml:space="preserve"> S., Thai S. F.: </w:t>
      </w:r>
      <w:proofErr w:type="spellStart"/>
      <w:r>
        <w:rPr>
          <w:lang w:val="en-US"/>
        </w:rPr>
        <w:t>Toxicol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Pathol</w:t>
      </w:r>
      <w:proofErr w:type="spellEnd"/>
      <w:r>
        <w:rPr>
          <w:lang w:val="en-US"/>
        </w:rPr>
        <w:t xml:space="preserve">. </w:t>
      </w:r>
      <w:r w:rsidRPr="00C31F23">
        <w:rPr>
          <w:i/>
          <w:lang w:val="en-US"/>
        </w:rPr>
        <w:t>34</w:t>
      </w:r>
      <w:r>
        <w:rPr>
          <w:lang w:val="en-US"/>
        </w:rPr>
        <w:t>, 879 (2006).</w:t>
      </w:r>
    </w:p>
    <w:p w:rsidR="00C31F23" w:rsidRDefault="00C31F2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Hester S., Moore T., Padgett W. T., Murphy L., Wood C. E., </w:t>
      </w:r>
      <w:proofErr w:type="spellStart"/>
      <w:r>
        <w:rPr>
          <w:lang w:val="en-US"/>
        </w:rPr>
        <w:t>Nesnow</w:t>
      </w:r>
      <w:proofErr w:type="spellEnd"/>
      <w:r>
        <w:rPr>
          <w:lang w:val="en-US"/>
        </w:rPr>
        <w:t xml:space="preserve"> S.: </w:t>
      </w:r>
      <w:proofErr w:type="spellStart"/>
      <w:r>
        <w:rPr>
          <w:lang w:val="en-US"/>
        </w:rPr>
        <w:t>Toxicol</w:t>
      </w:r>
      <w:proofErr w:type="spellEnd"/>
      <w:r>
        <w:rPr>
          <w:lang w:val="en-US"/>
        </w:rPr>
        <w:t xml:space="preserve">. Sci. </w:t>
      </w:r>
      <w:r w:rsidRPr="0049236B">
        <w:rPr>
          <w:i/>
          <w:lang w:val="en-US"/>
        </w:rPr>
        <w:t>127</w:t>
      </w:r>
      <w:r>
        <w:rPr>
          <w:lang w:val="en-US"/>
        </w:rPr>
        <w:t>, 54 (2012).</w:t>
      </w:r>
    </w:p>
    <w:p w:rsidR="00C31F23" w:rsidRDefault="00C31F2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Zhuang S. L., </w:t>
      </w:r>
      <w:proofErr w:type="spellStart"/>
      <w:r>
        <w:rPr>
          <w:lang w:val="en-US"/>
        </w:rPr>
        <w:t>Bao</w:t>
      </w:r>
      <w:proofErr w:type="spellEnd"/>
      <w:r>
        <w:rPr>
          <w:lang w:val="en-US"/>
        </w:rPr>
        <w:t xml:space="preserve"> L. L., Wang H. F., Zhang M., Yang C., Zhou X. Y., Wu Y., </w:t>
      </w:r>
      <w:proofErr w:type="spellStart"/>
      <w:r>
        <w:rPr>
          <w:lang w:val="en-US"/>
        </w:rPr>
        <w:t>Rehman</w:t>
      </w:r>
      <w:proofErr w:type="spellEnd"/>
      <w:r>
        <w:rPr>
          <w:lang w:val="en-US"/>
        </w:rPr>
        <w:t xml:space="preserve"> K., </w:t>
      </w:r>
      <w:proofErr w:type="spellStart"/>
      <w:r>
        <w:rPr>
          <w:lang w:val="en-US"/>
        </w:rPr>
        <w:t>Naranmandura</w:t>
      </w:r>
      <w:proofErr w:type="spellEnd"/>
      <w:r>
        <w:rPr>
          <w:lang w:val="en-US"/>
        </w:rPr>
        <w:t xml:space="preserve"> H.: </w:t>
      </w:r>
      <w:proofErr w:type="spellStart"/>
      <w:r>
        <w:rPr>
          <w:lang w:val="en-US"/>
        </w:rPr>
        <w:t>Toxicol</w:t>
      </w:r>
      <w:proofErr w:type="spellEnd"/>
      <w:r>
        <w:rPr>
          <w:lang w:val="en-US"/>
        </w:rPr>
        <w:t xml:space="preserve">. Res. </w:t>
      </w:r>
      <w:r w:rsidRPr="00C31F23">
        <w:rPr>
          <w:i/>
          <w:lang w:val="en-US"/>
        </w:rPr>
        <w:t>4</w:t>
      </w:r>
      <w:r>
        <w:rPr>
          <w:lang w:val="en-US"/>
        </w:rPr>
        <w:t>, 1195 (2015).</w:t>
      </w:r>
    </w:p>
    <w:p w:rsidR="00C31F23" w:rsidRDefault="00C31F2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Goetz A. K., Dix D. J.: </w:t>
      </w:r>
      <w:proofErr w:type="spellStart"/>
      <w:r>
        <w:rPr>
          <w:lang w:val="en-US"/>
        </w:rPr>
        <w:t>Toxicol</w:t>
      </w:r>
      <w:proofErr w:type="spellEnd"/>
      <w:r>
        <w:rPr>
          <w:lang w:val="en-US"/>
        </w:rPr>
        <w:t xml:space="preserve">. Sci. </w:t>
      </w:r>
      <w:r w:rsidRPr="00C31F23">
        <w:rPr>
          <w:i/>
          <w:lang w:val="en-US"/>
        </w:rPr>
        <w:t>110</w:t>
      </w:r>
      <w:r>
        <w:rPr>
          <w:lang w:val="en-US"/>
        </w:rPr>
        <w:t>, 449 (2009).</w:t>
      </w:r>
    </w:p>
    <w:p w:rsidR="00C31F23" w:rsidRDefault="00C31F2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Mu X. Y., Chai T. T., Wang K., Zhu L. Z., Huang Y., Shen G. M., Li Y. R., </w:t>
      </w:r>
      <w:proofErr w:type="gramStart"/>
      <w:r>
        <w:rPr>
          <w:lang w:val="en-US"/>
        </w:rPr>
        <w:t>Li</w:t>
      </w:r>
      <w:proofErr w:type="gramEnd"/>
      <w:r>
        <w:rPr>
          <w:lang w:val="en-US"/>
        </w:rPr>
        <w:t xml:space="preserve"> X. F., Wang </w:t>
      </w:r>
      <w:r w:rsidR="00FF1E44">
        <w:rPr>
          <w:lang w:val="en-US"/>
        </w:rPr>
        <w:t xml:space="preserve">C. J.: Environ. </w:t>
      </w:r>
      <w:proofErr w:type="spellStart"/>
      <w:r w:rsidR="00FF1E44">
        <w:rPr>
          <w:lang w:val="en-US"/>
        </w:rPr>
        <w:t>Pollut</w:t>
      </w:r>
      <w:proofErr w:type="spellEnd"/>
      <w:r w:rsidR="00FF1E44">
        <w:rPr>
          <w:lang w:val="en-US"/>
        </w:rPr>
        <w:t xml:space="preserve">. </w:t>
      </w:r>
      <w:r w:rsidR="00FF1E44" w:rsidRPr="00FF1E44">
        <w:rPr>
          <w:i/>
          <w:lang w:val="en-US"/>
        </w:rPr>
        <w:t>212</w:t>
      </w:r>
      <w:r w:rsidR="00FF1E44">
        <w:rPr>
          <w:lang w:val="en-US"/>
        </w:rPr>
        <w:t>, 18 (2016).</w:t>
      </w:r>
    </w:p>
    <w:p w:rsidR="00FF1E44" w:rsidRDefault="008E438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Ye X., Ma S. P., Zhang L. J., Zhao P. F., </w:t>
      </w:r>
      <w:proofErr w:type="spellStart"/>
      <w:r>
        <w:rPr>
          <w:lang w:val="en-US"/>
        </w:rPr>
        <w:t>Hou</w:t>
      </w:r>
      <w:proofErr w:type="spellEnd"/>
      <w:r>
        <w:rPr>
          <w:lang w:val="en-US"/>
        </w:rPr>
        <w:t xml:space="preserve"> X. H., Zhao L. S., Liang N.: J. Food. Compos. Anal. </w:t>
      </w:r>
      <w:r w:rsidRPr="00C95665">
        <w:rPr>
          <w:i/>
          <w:lang w:val="en-US"/>
        </w:rPr>
        <w:t>74</w:t>
      </w:r>
      <w:r>
        <w:rPr>
          <w:lang w:val="en-US"/>
        </w:rPr>
        <w:t>, 62 (2018).</w:t>
      </w:r>
    </w:p>
    <w:p w:rsidR="008E4383" w:rsidRDefault="008E4383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Zhao W. T., Zhao J. Z., Zhao H. Q., Cao Y. Y., Liu W. T.: Chirality </w:t>
      </w:r>
      <w:r w:rsidRPr="00C95665">
        <w:rPr>
          <w:i/>
          <w:lang w:val="en-US"/>
        </w:rPr>
        <w:t>30</w:t>
      </w:r>
      <w:r>
        <w:rPr>
          <w:lang w:val="en-US"/>
        </w:rPr>
        <w:t>, 302 (2018).</w:t>
      </w:r>
    </w:p>
    <w:p w:rsidR="008E4383" w:rsidRDefault="00C95665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Liu C., Liao Y. M., Huang X. J.: J. </w:t>
      </w:r>
      <w:proofErr w:type="spellStart"/>
      <w:r>
        <w:rPr>
          <w:lang w:val="en-US"/>
        </w:rPr>
        <w:t>Chromatgr</w:t>
      </w:r>
      <w:proofErr w:type="spellEnd"/>
      <w:r>
        <w:rPr>
          <w:lang w:val="en-US"/>
        </w:rPr>
        <w:t xml:space="preserve">. A </w:t>
      </w:r>
      <w:r w:rsidRPr="00C95665">
        <w:rPr>
          <w:i/>
          <w:lang w:val="en-US"/>
        </w:rPr>
        <w:t>1524</w:t>
      </w:r>
      <w:r>
        <w:rPr>
          <w:lang w:val="en-US"/>
        </w:rPr>
        <w:t>, 13 (2017).</w:t>
      </w:r>
    </w:p>
    <w:p w:rsidR="00C95665" w:rsidRDefault="00C95665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Wang P., Zhao Y. P., Wang X. J., Yu G. W., Wang J., Li Z. G., Lee M. R.: J. Sep. Sci. </w:t>
      </w:r>
      <w:r w:rsidRPr="00C95665">
        <w:rPr>
          <w:i/>
          <w:lang w:val="en-US"/>
        </w:rPr>
        <w:t>41</w:t>
      </w:r>
      <w:r>
        <w:rPr>
          <w:lang w:val="en-US"/>
        </w:rPr>
        <w:t>, 4498 (2018).</w:t>
      </w:r>
    </w:p>
    <w:p w:rsidR="00C95665" w:rsidRDefault="00C95665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Wei Q. Z., Song Z. Y.,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J., Xia H. L., Chen F. J., Li Z. G., Lee M.: J. Sep. Sci. </w:t>
      </w:r>
      <w:r w:rsidRPr="00C95665">
        <w:rPr>
          <w:i/>
          <w:lang w:val="en-US"/>
        </w:rPr>
        <w:t>39</w:t>
      </w:r>
      <w:r>
        <w:rPr>
          <w:lang w:val="en-US"/>
        </w:rPr>
        <w:t>, 4603 (2016).</w:t>
      </w:r>
    </w:p>
    <w:p w:rsidR="00C95665" w:rsidRDefault="00C95665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proofErr w:type="spellStart"/>
      <w:r>
        <w:rPr>
          <w:lang w:val="en-US"/>
        </w:rPr>
        <w:t>Konasova</w:t>
      </w:r>
      <w:proofErr w:type="spellEnd"/>
      <w:r>
        <w:rPr>
          <w:lang w:val="en-US"/>
        </w:rPr>
        <w:t xml:space="preserve"> R., Dytrtova J.J., </w:t>
      </w:r>
      <w:proofErr w:type="spellStart"/>
      <w:r>
        <w:rPr>
          <w:lang w:val="en-US"/>
        </w:rPr>
        <w:t>Kasicka</w:t>
      </w:r>
      <w:proofErr w:type="spellEnd"/>
      <w:r>
        <w:rPr>
          <w:lang w:val="en-US"/>
        </w:rPr>
        <w:t xml:space="preserve"> V.: J. </w:t>
      </w:r>
      <w:proofErr w:type="spellStart"/>
      <w:r>
        <w:rPr>
          <w:lang w:val="en-US"/>
        </w:rPr>
        <w:t>Chromatogr</w:t>
      </w:r>
      <w:proofErr w:type="spellEnd"/>
      <w:r>
        <w:rPr>
          <w:lang w:val="en-US"/>
        </w:rPr>
        <w:t xml:space="preserve">. A </w:t>
      </w:r>
      <w:r w:rsidRPr="00C95665">
        <w:rPr>
          <w:i/>
          <w:lang w:val="en-US"/>
        </w:rPr>
        <w:t>1408</w:t>
      </w:r>
      <w:r>
        <w:rPr>
          <w:lang w:val="en-US"/>
        </w:rPr>
        <w:t>, 243 (2015).</w:t>
      </w:r>
    </w:p>
    <w:p w:rsidR="00C95665" w:rsidRDefault="002B790C" w:rsidP="00A47B60">
      <w:pPr>
        <w:pStyle w:val="JetrText"/>
        <w:numPr>
          <w:ilvl w:val="0"/>
          <w:numId w:val="2"/>
        </w:numPr>
        <w:tabs>
          <w:tab w:val="clear" w:pos="720"/>
          <w:tab w:val="num" w:pos="399"/>
        </w:tabs>
        <w:ind w:left="399" w:hanging="399"/>
        <w:rPr>
          <w:lang w:val="en-US"/>
        </w:rPr>
      </w:pPr>
      <w:r>
        <w:rPr>
          <w:lang w:val="en-US"/>
        </w:rPr>
        <w:t xml:space="preserve">Novakova K., Navratil T., </w:t>
      </w:r>
      <w:proofErr w:type="spellStart"/>
      <w:r>
        <w:rPr>
          <w:lang w:val="en-US"/>
        </w:rPr>
        <w:t>Jaklova</w:t>
      </w:r>
      <w:proofErr w:type="spellEnd"/>
      <w:r>
        <w:rPr>
          <w:lang w:val="en-US"/>
        </w:rPr>
        <w:t xml:space="preserve"> Dytrtova J., Chylkova J.: Int. J. </w:t>
      </w:r>
      <w:proofErr w:type="spellStart"/>
      <w:r>
        <w:rPr>
          <w:lang w:val="en-US"/>
        </w:rPr>
        <w:t>Electrochem</w:t>
      </w:r>
      <w:proofErr w:type="spellEnd"/>
      <w:r>
        <w:rPr>
          <w:lang w:val="en-US"/>
        </w:rPr>
        <w:t xml:space="preserve">. Sci. </w:t>
      </w:r>
      <w:r w:rsidRPr="0049236B">
        <w:rPr>
          <w:i/>
          <w:lang w:val="en-US"/>
        </w:rPr>
        <w:t>8</w:t>
      </w:r>
      <w:r>
        <w:rPr>
          <w:lang w:val="en-US"/>
        </w:rPr>
        <w:t>, 1 (2013).</w:t>
      </w:r>
    </w:p>
    <w:p w:rsidR="00955BB8" w:rsidRDefault="002B790C" w:rsidP="00BE17C1">
      <w:pPr>
        <w:pStyle w:val="JetrText"/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rPr>
          <w:lang w:val="en-US"/>
        </w:rPr>
      </w:pPr>
      <w:r>
        <w:rPr>
          <w:lang w:val="en-US"/>
        </w:rPr>
        <w:lastRenderedPageBreak/>
        <w:t xml:space="preserve">Novakova K., Navratil T., </w:t>
      </w:r>
      <w:proofErr w:type="spellStart"/>
      <w:r>
        <w:rPr>
          <w:lang w:val="en-US"/>
        </w:rPr>
        <w:t>Jaklova</w:t>
      </w:r>
      <w:proofErr w:type="spellEnd"/>
      <w:r>
        <w:rPr>
          <w:lang w:val="en-US"/>
        </w:rPr>
        <w:t xml:space="preserve"> Dytrtova J., Chylkova J.: </w:t>
      </w:r>
      <w:r w:rsidRPr="00BE17C1">
        <w:rPr>
          <w:i/>
          <w:lang w:val="en-US"/>
        </w:rPr>
        <w:t xml:space="preserve">32nd International Conference on Modern Electrochemical Methods, </w:t>
      </w:r>
      <w:proofErr w:type="spellStart"/>
      <w:r w:rsidRPr="00BE17C1">
        <w:rPr>
          <w:i/>
          <w:lang w:val="en-US"/>
        </w:rPr>
        <w:t>Jetrichovice</w:t>
      </w:r>
      <w:proofErr w:type="spellEnd"/>
      <w:r w:rsidRPr="00BE17C1">
        <w:rPr>
          <w:i/>
          <w:lang w:val="en-US"/>
        </w:rPr>
        <w:t>, May 21</w:t>
      </w:r>
      <w:r w:rsidRPr="00BE17C1">
        <w:rPr>
          <w:i/>
          <w:vertAlign w:val="superscript"/>
          <w:lang w:val="en-US"/>
        </w:rPr>
        <w:t>st</w:t>
      </w:r>
      <w:r w:rsidRPr="00BE17C1">
        <w:rPr>
          <w:i/>
          <w:lang w:val="en-US"/>
        </w:rPr>
        <w:t xml:space="preserve"> – 25</w:t>
      </w:r>
      <w:r w:rsidRPr="00BE17C1">
        <w:rPr>
          <w:i/>
          <w:vertAlign w:val="superscript"/>
          <w:lang w:val="en-US"/>
        </w:rPr>
        <w:t>th</w:t>
      </w:r>
      <w:r w:rsidRPr="00BE17C1">
        <w:rPr>
          <w:i/>
          <w:lang w:val="en-US"/>
        </w:rPr>
        <w:t>, 2012</w:t>
      </w:r>
      <w:r>
        <w:rPr>
          <w:lang w:val="en-US"/>
        </w:rPr>
        <w:t>, Book of Abstract (Navra</w:t>
      </w:r>
      <w:r w:rsidR="00BE17C1">
        <w:rPr>
          <w:lang w:val="en-US"/>
        </w:rPr>
        <w:t>til T., Fojta M., eds.), p. 87.</w:t>
      </w:r>
    </w:p>
    <w:p w:rsidR="00BE2C49" w:rsidRPr="00BE2C49" w:rsidRDefault="00BE2C49" w:rsidP="00BE17C1">
      <w:pPr>
        <w:pStyle w:val="JetrText"/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rPr>
          <w:lang w:val="en-US"/>
        </w:rPr>
      </w:pPr>
      <w:r w:rsidRPr="008F4414">
        <w:rPr>
          <w:szCs w:val="20"/>
          <w:lang w:val="en-US"/>
        </w:rPr>
        <w:t>Swain</w:t>
      </w:r>
      <w:r>
        <w:rPr>
          <w:szCs w:val="20"/>
          <w:lang w:val="en-US"/>
        </w:rPr>
        <w:t xml:space="preserve"> G. M.</w:t>
      </w:r>
      <w:r w:rsidRPr="008F4414">
        <w:rPr>
          <w:szCs w:val="20"/>
          <w:lang w:val="en-US"/>
        </w:rPr>
        <w:t xml:space="preserve">, </w:t>
      </w:r>
      <w:proofErr w:type="spellStart"/>
      <w:r w:rsidRPr="008F4414">
        <w:rPr>
          <w:szCs w:val="20"/>
          <w:lang w:val="en-US"/>
        </w:rPr>
        <w:t>Ramesham</w:t>
      </w:r>
      <w:proofErr w:type="spellEnd"/>
      <w:r>
        <w:rPr>
          <w:szCs w:val="20"/>
          <w:lang w:val="en-US"/>
        </w:rPr>
        <w:t xml:space="preserve"> R.</w:t>
      </w:r>
      <w:r w:rsidRPr="008F4414">
        <w:rPr>
          <w:szCs w:val="20"/>
          <w:lang w:val="en-US"/>
        </w:rPr>
        <w:t xml:space="preserve">: Anal. Chem. </w:t>
      </w:r>
      <w:r w:rsidRPr="00BE2C49">
        <w:rPr>
          <w:i/>
          <w:szCs w:val="20"/>
          <w:lang w:val="en-US"/>
        </w:rPr>
        <w:t>65</w:t>
      </w:r>
      <w:r w:rsidRPr="008F4414">
        <w:rPr>
          <w:szCs w:val="20"/>
          <w:lang w:val="en-US"/>
        </w:rPr>
        <w:t>, 345 (1993).</w:t>
      </w:r>
    </w:p>
    <w:p w:rsidR="00BE2C49" w:rsidRPr="00BE2C49" w:rsidRDefault="00BE2C49" w:rsidP="00BE17C1">
      <w:pPr>
        <w:pStyle w:val="JetrText"/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rPr>
          <w:lang w:val="en-US"/>
        </w:rPr>
      </w:pPr>
      <w:r w:rsidRPr="008F4414">
        <w:rPr>
          <w:szCs w:val="20"/>
          <w:lang w:val="en-US"/>
        </w:rPr>
        <w:t>Pecková</w:t>
      </w:r>
      <w:r>
        <w:rPr>
          <w:szCs w:val="20"/>
          <w:lang w:val="en-US"/>
        </w:rPr>
        <w:t xml:space="preserve"> K.</w:t>
      </w:r>
      <w:r w:rsidRPr="008F4414">
        <w:rPr>
          <w:szCs w:val="20"/>
          <w:lang w:val="en-US"/>
        </w:rPr>
        <w:t xml:space="preserve">, </w:t>
      </w:r>
      <w:r>
        <w:rPr>
          <w:szCs w:val="20"/>
          <w:lang w:val="en-US"/>
        </w:rPr>
        <w:t>M</w:t>
      </w:r>
      <w:r w:rsidRPr="008F4414">
        <w:rPr>
          <w:szCs w:val="20"/>
          <w:lang w:val="en-US"/>
        </w:rPr>
        <w:t>usilová</w:t>
      </w:r>
      <w:r>
        <w:rPr>
          <w:szCs w:val="20"/>
          <w:lang w:val="en-US"/>
        </w:rPr>
        <w:t xml:space="preserve"> J.</w:t>
      </w:r>
      <w:r w:rsidRPr="008F4414">
        <w:rPr>
          <w:szCs w:val="20"/>
          <w:lang w:val="en-US"/>
        </w:rPr>
        <w:t>, Barek</w:t>
      </w:r>
      <w:r>
        <w:rPr>
          <w:szCs w:val="20"/>
          <w:lang w:val="en-US"/>
        </w:rPr>
        <w:t xml:space="preserve"> J.</w:t>
      </w:r>
      <w:r w:rsidRPr="008F4414">
        <w:rPr>
          <w:szCs w:val="20"/>
          <w:lang w:val="en-US"/>
        </w:rPr>
        <w:t xml:space="preserve">: Crit. Rev. Anal. Chem. </w:t>
      </w:r>
      <w:r w:rsidRPr="00BE2C49">
        <w:rPr>
          <w:i/>
          <w:szCs w:val="20"/>
          <w:lang w:val="en-US"/>
        </w:rPr>
        <w:t>39</w:t>
      </w:r>
      <w:r w:rsidRPr="008F4414">
        <w:rPr>
          <w:szCs w:val="20"/>
          <w:lang w:val="en-US"/>
        </w:rPr>
        <w:t>, 148</w:t>
      </w:r>
      <w:r>
        <w:rPr>
          <w:szCs w:val="20"/>
          <w:lang w:val="en-US"/>
        </w:rPr>
        <w:t xml:space="preserve"> </w:t>
      </w:r>
      <w:r w:rsidRPr="008F4414">
        <w:rPr>
          <w:szCs w:val="20"/>
          <w:lang w:val="en-US"/>
        </w:rPr>
        <w:t>(2009).</w:t>
      </w:r>
    </w:p>
    <w:p w:rsidR="00BE2C49" w:rsidRPr="00BE17C1" w:rsidRDefault="00BE2C49" w:rsidP="00BE2C49">
      <w:pPr>
        <w:pStyle w:val="JetrText"/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rPr>
          <w:lang w:val="en-US"/>
        </w:rPr>
      </w:pPr>
      <w:r w:rsidRPr="00BE2C49">
        <w:rPr>
          <w:lang w:val="en-US"/>
        </w:rPr>
        <w:t xml:space="preserve">Šelešovská R., Kränková B., Štěpánková M., Martinková P., Janíková L., Chýlková J., Vojs M.: J. Electroanal. Chem. </w:t>
      </w:r>
      <w:r w:rsidRPr="00BE2C49">
        <w:rPr>
          <w:i/>
          <w:lang w:val="en-US"/>
        </w:rPr>
        <w:t>821</w:t>
      </w:r>
      <w:r w:rsidRPr="00BE2C49">
        <w:rPr>
          <w:lang w:val="en-US"/>
        </w:rPr>
        <w:t>, 2 (2018).</w:t>
      </w:r>
    </w:p>
    <w:sectPr w:rsidR="00BE2C49" w:rsidRPr="00BE17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326398"/>
    <w:multiLevelType w:val="hybridMultilevel"/>
    <w:tmpl w:val="34561F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nikova Lenka">
    <w15:presenceInfo w15:providerId="AD" w15:userId="S-1-5-21-577094795-3224523113-2082681977-633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BB8"/>
    <w:rsid w:val="000B7BA3"/>
    <w:rsid w:val="000E3638"/>
    <w:rsid w:val="00263A45"/>
    <w:rsid w:val="0027605D"/>
    <w:rsid w:val="002B790C"/>
    <w:rsid w:val="00321EAB"/>
    <w:rsid w:val="003434FC"/>
    <w:rsid w:val="00345832"/>
    <w:rsid w:val="0034583E"/>
    <w:rsid w:val="00360588"/>
    <w:rsid w:val="00360CA1"/>
    <w:rsid w:val="003A7C5E"/>
    <w:rsid w:val="003F3953"/>
    <w:rsid w:val="004256C7"/>
    <w:rsid w:val="0046594F"/>
    <w:rsid w:val="0049236B"/>
    <w:rsid w:val="0049374F"/>
    <w:rsid w:val="004A53E1"/>
    <w:rsid w:val="004A5B1E"/>
    <w:rsid w:val="004B0B16"/>
    <w:rsid w:val="004D6CBB"/>
    <w:rsid w:val="004E020E"/>
    <w:rsid w:val="00514224"/>
    <w:rsid w:val="005171AD"/>
    <w:rsid w:val="0056310B"/>
    <w:rsid w:val="005A6CAF"/>
    <w:rsid w:val="00624CD3"/>
    <w:rsid w:val="00633BA2"/>
    <w:rsid w:val="00673AFD"/>
    <w:rsid w:val="00691F88"/>
    <w:rsid w:val="006A17D1"/>
    <w:rsid w:val="00727858"/>
    <w:rsid w:val="007C2E31"/>
    <w:rsid w:val="00804B3B"/>
    <w:rsid w:val="00894A55"/>
    <w:rsid w:val="008B1A25"/>
    <w:rsid w:val="008D524B"/>
    <w:rsid w:val="008E2A91"/>
    <w:rsid w:val="008E4383"/>
    <w:rsid w:val="00955BB8"/>
    <w:rsid w:val="00A47B60"/>
    <w:rsid w:val="00A8400E"/>
    <w:rsid w:val="00B2104C"/>
    <w:rsid w:val="00B344EB"/>
    <w:rsid w:val="00B37BFA"/>
    <w:rsid w:val="00B67008"/>
    <w:rsid w:val="00BA7202"/>
    <w:rsid w:val="00BE17C1"/>
    <w:rsid w:val="00BE2C49"/>
    <w:rsid w:val="00BF6727"/>
    <w:rsid w:val="00C31F23"/>
    <w:rsid w:val="00C82B81"/>
    <w:rsid w:val="00C94925"/>
    <w:rsid w:val="00C95665"/>
    <w:rsid w:val="00CB1F1E"/>
    <w:rsid w:val="00DF354B"/>
    <w:rsid w:val="00E04D74"/>
    <w:rsid w:val="00EF3A1E"/>
    <w:rsid w:val="00F3407B"/>
    <w:rsid w:val="00F4756D"/>
    <w:rsid w:val="00F75DEF"/>
    <w:rsid w:val="00FF1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rsid w:val="007C2E31"/>
    <w:rPr>
      <w:color w:val="0000FF"/>
      <w:u w:val="single"/>
    </w:rPr>
  </w:style>
  <w:style w:type="paragraph" w:customStyle="1" w:styleId="JetrAutoriAdresy">
    <w:name w:val="Jetr_Autori_Adresy"/>
    <w:basedOn w:val="Normln"/>
    <w:rsid w:val="007C2E31"/>
    <w:pPr>
      <w:widowControl/>
      <w:suppressAutoHyphens w:val="0"/>
      <w:jc w:val="center"/>
    </w:pPr>
    <w:rPr>
      <w:rFonts w:eastAsia="Times New Roman" w:cs="Times New Roman"/>
      <w:kern w:val="0"/>
      <w:u w:val="single"/>
      <w:lang w:eastAsia="cs-CZ" w:bidi="ar-SA"/>
    </w:rPr>
  </w:style>
  <w:style w:type="paragraph" w:customStyle="1" w:styleId="TextCE">
    <w:name w:val="TextCE"/>
    <w:basedOn w:val="Zkladntext"/>
    <w:rsid w:val="007C2E31"/>
    <w:pPr>
      <w:suppressAutoHyphens w:val="0"/>
      <w:ind w:firstLine="425"/>
      <w:jc w:val="both"/>
    </w:pPr>
    <w:rPr>
      <w:rFonts w:eastAsia="Times New Roman" w:cs="Times New Roman"/>
      <w:kern w:val="0"/>
      <w:szCs w:val="20"/>
      <w:lang w:eastAsia="cs-CZ" w:bidi="ar-SA"/>
    </w:rPr>
  </w:style>
  <w:style w:type="paragraph" w:customStyle="1" w:styleId="JetrText">
    <w:name w:val="Jetr_Text"/>
    <w:basedOn w:val="Normln"/>
    <w:rsid w:val="007C2E31"/>
    <w:pPr>
      <w:widowControl/>
      <w:suppressAutoHyphens w:val="0"/>
      <w:autoSpaceDE w:val="0"/>
      <w:autoSpaceDN w:val="0"/>
      <w:adjustRightInd w:val="0"/>
      <w:jc w:val="both"/>
    </w:pPr>
    <w:rPr>
      <w:rFonts w:eastAsia="Times New Roman" w:cs="Times New Roman"/>
      <w:kern w:val="0"/>
      <w:lang w:eastAsia="cs-CZ" w:bidi="ar-SA"/>
    </w:rPr>
  </w:style>
  <w:style w:type="paragraph" w:customStyle="1" w:styleId="JetrNadpis">
    <w:name w:val="Jetr_Nadpis"/>
    <w:basedOn w:val="Normln"/>
    <w:rsid w:val="007C2E31"/>
    <w:pPr>
      <w:widowControl/>
      <w:suppressAutoHyphens w:val="0"/>
      <w:jc w:val="both"/>
    </w:pPr>
    <w:rPr>
      <w:rFonts w:eastAsia="Times New Roman" w:cs="Times New Roman"/>
      <w:b/>
      <w:bCs/>
      <w:kern w:val="0"/>
      <w:szCs w:val="27"/>
      <w:lang w:eastAsia="cs-CZ" w:bidi="ar-SA"/>
    </w:rPr>
  </w:style>
  <w:style w:type="paragraph" w:customStyle="1" w:styleId="JetrHlavniNadpiserven">
    <w:name w:val="Jetr_HlavniNadpis + Červená"/>
    <w:basedOn w:val="Normln"/>
    <w:rsid w:val="007C2E31"/>
    <w:pPr>
      <w:widowControl/>
      <w:suppressAutoHyphens w:val="0"/>
      <w:jc w:val="center"/>
    </w:pPr>
    <w:rPr>
      <w:rFonts w:eastAsia="Times New Roman" w:cs="Times New Roman"/>
      <w:b/>
      <w:bCs/>
      <w:kern w:val="0"/>
      <w:lang w:eastAsia="cs-CZ" w:bidi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E31"/>
    <w:pPr>
      <w:spacing w:after="120"/>
    </w:pPr>
    <w:rPr>
      <w:rFonts w:cs="Mangal"/>
      <w:szCs w:val="21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E31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rsid w:val="007C2E31"/>
    <w:rPr>
      <w:color w:val="0000FF"/>
      <w:u w:val="single"/>
    </w:rPr>
  </w:style>
  <w:style w:type="paragraph" w:customStyle="1" w:styleId="JetrAutoriAdresy">
    <w:name w:val="Jetr_Autori_Adresy"/>
    <w:basedOn w:val="Normln"/>
    <w:rsid w:val="007C2E31"/>
    <w:pPr>
      <w:widowControl/>
      <w:suppressAutoHyphens w:val="0"/>
      <w:jc w:val="center"/>
    </w:pPr>
    <w:rPr>
      <w:rFonts w:eastAsia="Times New Roman" w:cs="Times New Roman"/>
      <w:kern w:val="0"/>
      <w:u w:val="single"/>
      <w:lang w:eastAsia="cs-CZ" w:bidi="ar-SA"/>
    </w:rPr>
  </w:style>
  <w:style w:type="paragraph" w:customStyle="1" w:styleId="TextCE">
    <w:name w:val="TextCE"/>
    <w:basedOn w:val="Zkladntext"/>
    <w:rsid w:val="007C2E31"/>
    <w:pPr>
      <w:suppressAutoHyphens w:val="0"/>
      <w:ind w:firstLine="425"/>
      <w:jc w:val="both"/>
    </w:pPr>
    <w:rPr>
      <w:rFonts w:eastAsia="Times New Roman" w:cs="Times New Roman"/>
      <w:kern w:val="0"/>
      <w:szCs w:val="20"/>
      <w:lang w:eastAsia="cs-CZ" w:bidi="ar-SA"/>
    </w:rPr>
  </w:style>
  <w:style w:type="paragraph" w:customStyle="1" w:styleId="JetrText">
    <w:name w:val="Jetr_Text"/>
    <w:basedOn w:val="Normln"/>
    <w:rsid w:val="007C2E31"/>
    <w:pPr>
      <w:widowControl/>
      <w:suppressAutoHyphens w:val="0"/>
      <w:autoSpaceDE w:val="0"/>
      <w:autoSpaceDN w:val="0"/>
      <w:adjustRightInd w:val="0"/>
      <w:jc w:val="both"/>
    </w:pPr>
    <w:rPr>
      <w:rFonts w:eastAsia="Times New Roman" w:cs="Times New Roman"/>
      <w:kern w:val="0"/>
      <w:lang w:eastAsia="cs-CZ" w:bidi="ar-SA"/>
    </w:rPr>
  </w:style>
  <w:style w:type="paragraph" w:customStyle="1" w:styleId="JetrNadpis">
    <w:name w:val="Jetr_Nadpis"/>
    <w:basedOn w:val="Normln"/>
    <w:rsid w:val="007C2E31"/>
    <w:pPr>
      <w:widowControl/>
      <w:suppressAutoHyphens w:val="0"/>
      <w:jc w:val="both"/>
    </w:pPr>
    <w:rPr>
      <w:rFonts w:eastAsia="Times New Roman" w:cs="Times New Roman"/>
      <w:b/>
      <w:bCs/>
      <w:kern w:val="0"/>
      <w:szCs w:val="27"/>
      <w:lang w:eastAsia="cs-CZ" w:bidi="ar-SA"/>
    </w:rPr>
  </w:style>
  <w:style w:type="paragraph" w:customStyle="1" w:styleId="JetrHlavniNadpiserven">
    <w:name w:val="Jetr_HlavniNadpis + Červená"/>
    <w:basedOn w:val="Normln"/>
    <w:rsid w:val="007C2E31"/>
    <w:pPr>
      <w:widowControl/>
      <w:suppressAutoHyphens w:val="0"/>
      <w:jc w:val="center"/>
    </w:pPr>
    <w:rPr>
      <w:rFonts w:eastAsia="Times New Roman" w:cs="Times New Roman"/>
      <w:b/>
      <w:bCs/>
      <w:kern w:val="0"/>
      <w:lang w:eastAsia="cs-CZ" w:bidi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E31"/>
    <w:pPr>
      <w:spacing w:after="120"/>
    </w:pPr>
    <w:rPr>
      <w:rFonts w:cs="Mangal"/>
      <w:szCs w:val="21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E31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renata.selesovska@upce.cz" TargetMode="Externa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F1EE62-D1B4-4D8C-8FA2-F9E446FBC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1570</Words>
  <Characters>9267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spravce</cp:lastModifiedBy>
  <cp:revision>4</cp:revision>
  <dcterms:created xsi:type="dcterms:W3CDTF">2019-03-28T09:15:00Z</dcterms:created>
  <dcterms:modified xsi:type="dcterms:W3CDTF">2019-03-28T09:48:00Z</dcterms:modified>
</cp:coreProperties>
</file>