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Univerzita Pardubice – Fakulta filozofická – KLKS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802803" w:rsidP="002313D7">
      <w:pPr>
        <w:jc w:val="both"/>
        <w:rPr>
          <w:b/>
          <w:bCs/>
          <w:sz w:val="22"/>
          <w:szCs w:val="22"/>
        </w:rPr>
      </w:pPr>
      <w:r w:rsidRPr="002313D7">
        <w:rPr>
          <w:b/>
          <w:bCs/>
          <w:sz w:val="22"/>
          <w:szCs w:val="22"/>
        </w:rPr>
        <w:t>P</w:t>
      </w:r>
      <w:r w:rsidR="004263A6" w:rsidRPr="002313D7">
        <w:rPr>
          <w:b/>
          <w:bCs/>
          <w:sz w:val="22"/>
          <w:szCs w:val="22"/>
        </w:rPr>
        <w:t xml:space="preserve">osudek </w:t>
      </w:r>
      <w:r w:rsidRPr="002313D7">
        <w:rPr>
          <w:b/>
          <w:bCs/>
          <w:sz w:val="22"/>
          <w:szCs w:val="22"/>
        </w:rPr>
        <w:t xml:space="preserve">vedoucího </w:t>
      </w:r>
      <w:r w:rsidR="004263A6" w:rsidRPr="002313D7">
        <w:rPr>
          <w:b/>
          <w:bCs/>
          <w:sz w:val="22"/>
          <w:szCs w:val="22"/>
        </w:rPr>
        <w:t>bakalářské práce – akademický rok 202</w:t>
      </w:r>
      <w:r w:rsidR="0033545E" w:rsidRPr="002313D7">
        <w:rPr>
          <w:b/>
          <w:bCs/>
          <w:sz w:val="22"/>
          <w:szCs w:val="22"/>
        </w:rPr>
        <w:t>4</w:t>
      </w:r>
      <w:r w:rsidR="004263A6" w:rsidRPr="002313D7">
        <w:rPr>
          <w:b/>
          <w:bCs/>
          <w:sz w:val="22"/>
          <w:szCs w:val="22"/>
        </w:rPr>
        <w:t>/202</w:t>
      </w:r>
      <w:r w:rsidR="0033545E" w:rsidRPr="002313D7">
        <w:rPr>
          <w:b/>
          <w:bCs/>
          <w:sz w:val="22"/>
          <w:szCs w:val="22"/>
        </w:rPr>
        <w:t>5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snapToGrid w:val="0"/>
        <w:spacing w:line="360" w:lineRule="auto"/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Autor práce: </w:t>
      </w:r>
      <w:r w:rsidR="00B24635">
        <w:rPr>
          <w:sz w:val="22"/>
          <w:szCs w:val="22"/>
        </w:rPr>
        <w:t>Tereza Novotná</w:t>
      </w:r>
    </w:p>
    <w:p w:rsidR="004263A6" w:rsidRPr="002313D7" w:rsidRDefault="004263A6" w:rsidP="002313D7">
      <w:pPr>
        <w:spacing w:line="360" w:lineRule="auto"/>
        <w:jc w:val="both"/>
        <w:rPr>
          <w:sz w:val="22"/>
          <w:szCs w:val="22"/>
        </w:rPr>
      </w:pPr>
      <w:r w:rsidRPr="002313D7">
        <w:rPr>
          <w:sz w:val="22"/>
          <w:szCs w:val="22"/>
        </w:rPr>
        <w:t>Studijní obor: Historicko-literární studia</w:t>
      </w:r>
    </w:p>
    <w:p w:rsidR="004263A6" w:rsidRPr="002313D7" w:rsidRDefault="004263A6" w:rsidP="002313D7">
      <w:pPr>
        <w:spacing w:line="360" w:lineRule="auto"/>
        <w:jc w:val="both"/>
        <w:rPr>
          <w:bCs/>
          <w:sz w:val="22"/>
          <w:szCs w:val="22"/>
        </w:rPr>
      </w:pPr>
      <w:r w:rsidRPr="002313D7">
        <w:rPr>
          <w:sz w:val="22"/>
          <w:szCs w:val="22"/>
        </w:rPr>
        <w:t xml:space="preserve">Název práce: </w:t>
      </w:r>
      <w:r w:rsidR="00B24635">
        <w:rPr>
          <w:sz w:val="22"/>
          <w:szCs w:val="22"/>
        </w:rPr>
        <w:t>Konflikt ženských postav v současném českém dramatu</w:t>
      </w:r>
    </w:p>
    <w:p w:rsidR="004263A6" w:rsidRPr="002313D7" w:rsidRDefault="004263A6" w:rsidP="002313D7">
      <w:pPr>
        <w:spacing w:line="360" w:lineRule="auto"/>
        <w:jc w:val="both"/>
        <w:rPr>
          <w:sz w:val="22"/>
          <w:szCs w:val="22"/>
        </w:rPr>
      </w:pPr>
      <w:r w:rsidRPr="002313D7">
        <w:rPr>
          <w:bCs/>
          <w:sz w:val="22"/>
          <w:szCs w:val="22"/>
        </w:rPr>
        <w:t>V</w:t>
      </w:r>
      <w:r w:rsidRPr="002313D7">
        <w:rPr>
          <w:sz w:val="22"/>
          <w:szCs w:val="22"/>
        </w:rPr>
        <w:t xml:space="preserve">edoucí práce: </w:t>
      </w:r>
      <w:r w:rsidR="00EE588F" w:rsidRPr="002313D7">
        <w:rPr>
          <w:sz w:val="22"/>
          <w:szCs w:val="22"/>
        </w:rPr>
        <w:t>PhDr. Petr Šrámek, Ph.D.</w:t>
      </w:r>
    </w:p>
    <w:p w:rsidR="004263A6" w:rsidRPr="002313D7" w:rsidRDefault="004263A6" w:rsidP="002313D7">
      <w:pPr>
        <w:spacing w:line="360" w:lineRule="auto"/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Oponent </w:t>
      </w:r>
      <w:r w:rsidRPr="00B24635">
        <w:rPr>
          <w:sz w:val="22"/>
          <w:szCs w:val="22"/>
        </w:rPr>
        <w:t xml:space="preserve">práce: </w:t>
      </w:r>
      <w:r w:rsidR="00EE588F" w:rsidRPr="00B24635">
        <w:rPr>
          <w:sz w:val="22"/>
          <w:szCs w:val="22"/>
        </w:rPr>
        <w:t xml:space="preserve">PhDr. </w:t>
      </w:r>
      <w:r w:rsidR="00534D26" w:rsidRPr="00B24635">
        <w:rPr>
          <w:sz w:val="22"/>
          <w:szCs w:val="22"/>
        </w:rPr>
        <w:t>Marta</w:t>
      </w:r>
      <w:r w:rsidR="00534D26">
        <w:rPr>
          <w:sz w:val="22"/>
          <w:szCs w:val="22"/>
        </w:rPr>
        <w:t xml:space="preserve"> Pató, </w:t>
      </w:r>
      <w:r w:rsidR="00EE588F" w:rsidRPr="002313D7">
        <w:rPr>
          <w:sz w:val="22"/>
          <w:szCs w:val="22"/>
        </w:rPr>
        <w:t>Ph.D.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C3772A" w:rsidRPr="002313D7" w:rsidRDefault="00C3772A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I. Formulace cílů práce, metodologie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B24635" w:rsidRDefault="00B24635" w:rsidP="00B24635">
      <w:pPr>
        <w:rPr>
          <w:rFonts w:eastAsia="Times New Roman"/>
          <w:color w:val="131314"/>
          <w:sz w:val="22"/>
          <w:szCs w:val="22"/>
          <w:lang w:eastAsia="cs-CZ"/>
        </w:rPr>
      </w:pP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Přítomná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práce si klade za cíl </w:t>
      </w:r>
      <w:r w:rsidRPr="00483768">
        <w:rPr>
          <w:rFonts w:eastAsia="Times New Roman"/>
          <w:bCs/>
          <w:color w:val="131314"/>
          <w:sz w:val="22"/>
          <w:szCs w:val="22"/>
          <w:lang w:eastAsia="cs-CZ"/>
        </w:rPr>
        <w:t xml:space="preserve">analyzovat </w:t>
      </w:r>
      <w:r w:rsidRPr="007F76E1">
        <w:rPr>
          <w:rFonts w:eastAsia="Times New Roman"/>
          <w:bCs/>
          <w:color w:val="131314"/>
          <w:sz w:val="22"/>
          <w:szCs w:val="22"/>
          <w:lang w:eastAsia="cs-CZ"/>
        </w:rPr>
        <w:t>ženské postavy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 v současném českém dramatu, 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a to se záměrem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přispět k hlubšímu pochopení ženské identity a 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rovněž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jejích proměn v kontextu moderní literatury a kulturní interpretace 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genderových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>rolí.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 Metodologicky autorka vhodně propo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>j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uje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poznakty </w:t>
      </w:r>
      <w:r w:rsidRPr="007F76E1">
        <w:rPr>
          <w:rFonts w:eastAsia="Times New Roman"/>
          <w:bCs/>
          <w:color w:val="131314"/>
          <w:sz w:val="22"/>
          <w:szCs w:val="22"/>
          <w:lang w:eastAsia="cs-CZ"/>
        </w:rPr>
        <w:t>literárn</w:t>
      </w:r>
      <w:r w:rsidR="00E8086F">
        <w:rPr>
          <w:rFonts w:eastAsia="Times New Roman"/>
          <w:bCs/>
          <w:color w:val="131314"/>
          <w:sz w:val="22"/>
          <w:szCs w:val="22"/>
          <w:lang w:eastAsia="cs-CZ"/>
        </w:rPr>
        <w:t>ěvědné či</w:t>
      </w:r>
      <w:r w:rsidRPr="007F76E1">
        <w:rPr>
          <w:rFonts w:eastAsia="Times New Roman"/>
          <w:bCs/>
          <w:color w:val="131314"/>
          <w:sz w:val="22"/>
          <w:szCs w:val="22"/>
          <w:lang w:eastAsia="cs-CZ"/>
        </w:rPr>
        <w:t xml:space="preserve"> teatrologi</w:t>
      </w:r>
      <w:r w:rsidR="00E8086F">
        <w:rPr>
          <w:rFonts w:eastAsia="Times New Roman"/>
          <w:bCs/>
          <w:color w:val="131314"/>
          <w:sz w:val="22"/>
          <w:szCs w:val="22"/>
          <w:lang w:eastAsia="cs-CZ"/>
        </w:rPr>
        <w:t>cké</w:t>
      </w:r>
      <w:r w:rsidRPr="00483768">
        <w:rPr>
          <w:rFonts w:eastAsia="Times New Roman"/>
          <w:bCs/>
          <w:color w:val="131314"/>
          <w:sz w:val="22"/>
          <w:szCs w:val="22"/>
          <w:lang w:eastAsia="cs-CZ"/>
        </w:rPr>
        <w:t xml:space="preserve"> </w:t>
      </w:r>
      <w:r w:rsidR="00E8086F">
        <w:rPr>
          <w:rFonts w:eastAsia="Times New Roman"/>
          <w:bCs/>
          <w:color w:val="131314"/>
          <w:sz w:val="22"/>
          <w:szCs w:val="22"/>
          <w:lang w:eastAsia="cs-CZ"/>
        </w:rPr>
        <w:t>s</w:t>
      </w:r>
      <w:r w:rsidRPr="007F76E1">
        <w:rPr>
          <w:rFonts w:eastAsia="Times New Roman"/>
          <w:bCs/>
          <w:color w:val="131314"/>
          <w:sz w:val="22"/>
          <w:szCs w:val="22"/>
          <w:lang w:eastAsia="cs-CZ"/>
        </w:rPr>
        <w:t xml:space="preserve"> poznatky </w:t>
      </w:r>
      <w:r w:rsidRPr="00483768">
        <w:rPr>
          <w:rFonts w:eastAsia="Times New Roman"/>
          <w:bCs/>
          <w:color w:val="131314"/>
          <w:sz w:val="22"/>
          <w:szCs w:val="22"/>
          <w:lang w:eastAsia="cs-CZ"/>
        </w:rPr>
        <w:t xml:space="preserve">z oblasti </w:t>
      </w:r>
      <w:r w:rsidRPr="007F76E1">
        <w:rPr>
          <w:rFonts w:eastAsia="Times New Roman"/>
          <w:bCs/>
          <w:color w:val="131314"/>
          <w:sz w:val="22"/>
          <w:szCs w:val="22"/>
          <w:lang w:eastAsia="cs-CZ"/>
        </w:rPr>
        <w:t>psychologie osobnosti</w:t>
      </w:r>
      <w:r w:rsidRPr="00483768">
        <w:rPr>
          <w:rFonts w:eastAsia="Times New Roman"/>
          <w:bCs/>
          <w:color w:val="131314"/>
          <w:sz w:val="22"/>
          <w:szCs w:val="22"/>
          <w:lang w:eastAsia="cs-CZ"/>
        </w:rPr>
        <w:t xml:space="preserve"> </w:t>
      </w:r>
      <w:r w:rsidR="00E8086F">
        <w:rPr>
          <w:rFonts w:eastAsia="Times New Roman"/>
          <w:bCs/>
          <w:color w:val="131314"/>
          <w:sz w:val="22"/>
          <w:szCs w:val="22"/>
          <w:lang w:eastAsia="cs-CZ"/>
        </w:rPr>
        <w:t>či</w:t>
      </w:r>
      <w:r w:rsidRPr="00483768">
        <w:rPr>
          <w:rFonts w:eastAsia="Times New Roman"/>
          <w:bCs/>
          <w:color w:val="131314"/>
          <w:sz w:val="22"/>
          <w:szCs w:val="22"/>
          <w:lang w:eastAsia="cs-CZ"/>
        </w:rPr>
        <w:t xml:space="preserve"> gender</w:t>
      </w:r>
      <w:r w:rsidR="00E8086F">
        <w:rPr>
          <w:rFonts w:eastAsia="Times New Roman"/>
          <w:bCs/>
          <w:color w:val="131314"/>
          <w:sz w:val="22"/>
          <w:szCs w:val="22"/>
          <w:lang w:eastAsia="cs-CZ"/>
        </w:rPr>
        <w:t>ových studií</w:t>
      </w:r>
      <w:r w:rsidRPr="00483768">
        <w:rPr>
          <w:rFonts w:eastAsia="Times New Roman"/>
          <w:bCs/>
          <w:color w:val="131314"/>
          <w:sz w:val="22"/>
          <w:szCs w:val="22"/>
          <w:lang w:eastAsia="cs-CZ"/>
        </w:rPr>
        <w:t xml:space="preserve">. Optika konfliktů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umožňuje analyzovat 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jednání, charaktery i vnitřní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prožívání hrdinek, 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 xml:space="preserve">včetně 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>jejich frustrac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>í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 a obrann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>ých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 xml:space="preserve"> mechanism</w:t>
      </w:r>
      <w:r w:rsidRPr="00483768">
        <w:rPr>
          <w:rFonts w:eastAsia="Times New Roman"/>
          <w:color w:val="131314"/>
          <w:sz w:val="22"/>
          <w:szCs w:val="22"/>
          <w:lang w:eastAsia="cs-CZ"/>
        </w:rPr>
        <w:t>ů</w:t>
      </w:r>
      <w:r w:rsidRPr="007F76E1">
        <w:rPr>
          <w:rFonts w:eastAsia="Times New Roman"/>
          <w:color w:val="131314"/>
          <w:sz w:val="22"/>
          <w:szCs w:val="22"/>
          <w:lang w:eastAsia="cs-CZ"/>
        </w:rPr>
        <w:t>.</w:t>
      </w:r>
    </w:p>
    <w:p w:rsidR="004263A6" w:rsidRPr="002313D7" w:rsidRDefault="004263A6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  <w:r w:rsidRPr="002313D7">
        <w:rPr>
          <w:rStyle w:val="Znakapoznpodarou1"/>
          <w:sz w:val="22"/>
          <w:szCs w:val="22"/>
        </w:rPr>
        <w:footnoteReference w:customMarkFollows="1" w:id="1"/>
        <w:t>*</w:t>
      </w:r>
      <w:r w:rsidRPr="002313D7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2313D7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II. Naplnění stanovených cílů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Default="004263A6" w:rsidP="002313D7">
      <w:pPr>
        <w:jc w:val="both"/>
        <w:rPr>
          <w:sz w:val="22"/>
          <w:szCs w:val="22"/>
        </w:rPr>
      </w:pPr>
    </w:p>
    <w:p w:rsidR="004907F7" w:rsidRDefault="00711F61" w:rsidP="00711F61">
      <w:pPr>
        <w:rPr>
          <w:rFonts w:eastAsia="Times New Roman"/>
          <w:color w:val="131314"/>
          <w:sz w:val="22"/>
          <w:szCs w:val="22"/>
          <w:lang w:eastAsia="cs-CZ"/>
        </w:rPr>
      </w:pPr>
      <w:r>
        <w:rPr>
          <w:rFonts w:eastAsia="Times New Roman"/>
          <w:color w:val="131314"/>
          <w:sz w:val="22"/>
          <w:szCs w:val="22"/>
          <w:lang w:eastAsia="cs-CZ"/>
        </w:rPr>
        <w:t>P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raktická část práce </w:t>
      </w:r>
      <w:r w:rsidRPr="00B3234D">
        <w:rPr>
          <w:rFonts w:eastAsia="Times New Roman"/>
          <w:bCs/>
          <w:color w:val="131314"/>
          <w:sz w:val="22"/>
          <w:szCs w:val="22"/>
          <w:lang w:eastAsia="cs-CZ"/>
        </w:rPr>
        <w:t>podrobně interpretuje ženské postavy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 současného dramatického repertoáru (Lenka Lagronová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, Iva Klestilová,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>Markéta Bidlasová</w:t>
      </w:r>
      <w:r>
        <w:rPr>
          <w:rFonts w:eastAsia="Times New Roman"/>
          <w:color w:val="131314"/>
          <w:sz w:val="22"/>
          <w:szCs w:val="22"/>
          <w:lang w:eastAsia="cs-CZ"/>
        </w:rPr>
        <w:t>)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>. Při analý</w:t>
      </w:r>
      <w:r>
        <w:rPr>
          <w:rFonts w:eastAsia="Times New Roman"/>
          <w:color w:val="131314"/>
          <w:sz w:val="22"/>
          <w:szCs w:val="22"/>
          <w:lang w:eastAsia="cs-CZ"/>
        </w:rPr>
        <w:t>z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ách konfliktních situací 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>autorka volí „literárněvědný a psychologický přístup“ (s. 2)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>, k čemuž v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>yužívá základní odbornou a oborovou literaturu. P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ři sledování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postav a jejich konfliktů 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 xml:space="preserve">se spoléhá zvláště 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na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>mimetickou teorii a psychologii osobnosti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: analyzuje jejich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>vnitřní svět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, 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 xml:space="preserve">zajímají ji 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>psychodynamick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 xml:space="preserve">é 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>proces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>y,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 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 xml:space="preserve">stejně tak zátěžové události či 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>frustrační toleranc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>e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 (Cakirpaloglu, Jaceyová, Holá, Kopecká). Zvláště lze ocenit </w:t>
      </w:r>
      <w:r w:rsidR="002C3305">
        <w:rPr>
          <w:rFonts w:eastAsia="Times New Roman"/>
          <w:color w:val="131314"/>
          <w:sz w:val="22"/>
          <w:szCs w:val="22"/>
          <w:lang w:eastAsia="cs-CZ"/>
        </w:rPr>
        <w:t>komplexitu</w:t>
      </w:r>
      <w:r w:rsidR="004907F7">
        <w:rPr>
          <w:rFonts w:eastAsia="Times New Roman"/>
          <w:color w:val="131314"/>
          <w:sz w:val="22"/>
          <w:szCs w:val="22"/>
          <w:lang w:eastAsia="cs-CZ"/>
        </w:rPr>
        <w:t xml:space="preserve"> sledování ženské zkušenosti v literatuře a na divadle (Gayle, Morrisová, Jungmannová, Parente-Čapková).  </w:t>
      </w:r>
    </w:p>
    <w:p w:rsidR="004907F7" w:rsidRDefault="004907F7" w:rsidP="00711F61">
      <w:pPr>
        <w:rPr>
          <w:rFonts w:eastAsia="Times New Roman"/>
          <w:color w:val="131314"/>
          <w:sz w:val="22"/>
          <w:szCs w:val="22"/>
          <w:lang w:eastAsia="cs-CZ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6937A3" w:rsidP="002313D7">
            <w:pPr>
              <w:pStyle w:val="Obsahtabulky"/>
              <w:snapToGrid w:val="0"/>
              <w:spacing w:line="276" w:lineRule="auto"/>
              <w:jc w:val="both"/>
            </w:pPr>
            <w:r>
              <w:t>3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III. Obsahové zpracování, přístup k řešení, řešení dílčích problémů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2C3305" w:rsidRDefault="002C3305" w:rsidP="002C3305">
      <w:pPr>
        <w:rPr>
          <w:rFonts w:eastAsia="Times New Roman"/>
          <w:color w:val="131314"/>
          <w:sz w:val="22"/>
          <w:szCs w:val="22"/>
          <w:lang w:eastAsia="cs-CZ"/>
        </w:rPr>
      </w:pP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Závěry práce jasně ukazují, že </w:t>
      </w:r>
      <w:r w:rsidRPr="00B3234D">
        <w:rPr>
          <w:rFonts w:eastAsia="Times New Roman"/>
          <w:bCs/>
          <w:color w:val="131314"/>
          <w:sz w:val="22"/>
          <w:szCs w:val="22"/>
          <w:lang w:eastAsia="cs-CZ"/>
        </w:rPr>
        <w:t>analyzované hrdinky prošly vnitřním konfliktem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 s projevy od agrese a dekompenzace osobnosti (Valli, Minach) 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či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latentní napětí (Barbíny) a 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že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čelily různým 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podobám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>sociálního konfliktu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 (s partnerem, kolektivem i národem)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. 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Autorka </w:t>
      </w:r>
      <w:r w:rsidRPr="00B3234D">
        <w:rPr>
          <w:rFonts w:eastAsia="Times New Roman"/>
          <w:bCs/>
          <w:color w:val="131314"/>
          <w:sz w:val="22"/>
          <w:szCs w:val="22"/>
          <w:lang w:eastAsia="cs-CZ"/>
        </w:rPr>
        <w:t xml:space="preserve">porovnává výsledky s dosavadním </w:t>
      </w:r>
      <w:r w:rsidRPr="00B3234D">
        <w:rPr>
          <w:rFonts w:eastAsia="Times New Roman"/>
          <w:bCs/>
          <w:color w:val="131314"/>
          <w:sz w:val="22"/>
          <w:szCs w:val="22"/>
          <w:lang w:eastAsia="cs-CZ"/>
        </w:rPr>
        <w:lastRenderedPageBreak/>
        <w:t>bádáním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, 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pomáhá si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>paralel</w:t>
      </w:r>
      <w:r>
        <w:rPr>
          <w:rFonts w:eastAsia="Times New Roman"/>
          <w:color w:val="131314"/>
          <w:sz w:val="22"/>
          <w:szCs w:val="22"/>
          <w:lang w:eastAsia="cs-CZ"/>
        </w:rPr>
        <w:t>emi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 ženský</w:t>
      </w:r>
      <w:r>
        <w:rPr>
          <w:rFonts w:eastAsia="Times New Roman"/>
          <w:color w:val="131314"/>
          <w:sz w:val="22"/>
          <w:szCs w:val="22"/>
          <w:lang w:eastAsia="cs-CZ"/>
        </w:rPr>
        <w:t>ch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 postav ve světové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i české 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dramatice (např. Nora, Maryša). </w:t>
      </w:r>
      <w:r w:rsidRPr="00B3234D">
        <w:rPr>
          <w:rFonts w:eastAsia="Times New Roman"/>
          <w:bCs/>
          <w:color w:val="131314"/>
          <w:sz w:val="22"/>
          <w:szCs w:val="22"/>
          <w:lang w:eastAsia="cs-CZ"/>
        </w:rPr>
        <w:t>Důsledky konfliktu jsou ve většině případů drtivé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, vedou k ztrátě hodnot, emocionálním rozvratům či životním zvratům. </w:t>
      </w:r>
      <w:r>
        <w:rPr>
          <w:rFonts w:eastAsia="Times New Roman"/>
          <w:color w:val="131314"/>
          <w:sz w:val="22"/>
          <w:szCs w:val="22"/>
          <w:lang w:eastAsia="cs-CZ"/>
        </w:rPr>
        <w:t>P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řínos spočívá v komplexním </w:t>
      </w:r>
      <w:r w:rsidRPr="00B3234D">
        <w:rPr>
          <w:rFonts w:eastAsia="Times New Roman"/>
          <w:bCs/>
          <w:color w:val="131314"/>
          <w:sz w:val="22"/>
          <w:szCs w:val="22"/>
          <w:lang w:eastAsia="cs-CZ"/>
        </w:rPr>
        <w:t>prozkoumání a v hlubším porozumění ženskému subjektu</w:t>
      </w:r>
      <w:r w:rsidRPr="00B3234D">
        <w:rPr>
          <w:rFonts w:eastAsia="Times New Roman"/>
          <w:color w:val="131314"/>
          <w:sz w:val="22"/>
          <w:szCs w:val="22"/>
          <w:lang w:eastAsia="cs-CZ"/>
        </w:rPr>
        <w:t xml:space="preserve"> v současném dramat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>ickém umění</w:t>
      </w:r>
      <w:r>
        <w:rPr>
          <w:rFonts w:eastAsia="Times New Roman"/>
          <w:color w:val="131314"/>
          <w:sz w:val="22"/>
          <w:szCs w:val="22"/>
          <w:lang w:eastAsia="cs-CZ"/>
        </w:rPr>
        <w:t xml:space="preserve">. Určité limity vykazuje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práce 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ve vlastních interpretacich, kde by bylo vhodné jít víc k podstatě. Autorka svůj výklad vhodně doprovází četnými citacemi – a s nadsázkou možno říct, že někdy před analýzou uhne právě k citátu. (Tady je na místě se ptát, zda nebylo vhodné opřít se o recenzní ohlas.) Na druhou stranu autorka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>má stále na vědomí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, která témata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chce sledovat 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a která mohou zůstat stranou – umí je vhodně redukovat tak, aby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práce 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mohla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příměji 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směřovat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k 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>obecnějším závěr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>ům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. V této souvislosti bych zvláště vyzdvihl tabulku, přehledně komparující </w:t>
      </w:r>
      <w:r w:rsidR="00E8086F">
        <w:rPr>
          <w:rFonts w:eastAsia="Times New Roman"/>
          <w:color w:val="131314"/>
          <w:sz w:val="22"/>
          <w:szCs w:val="22"/>
          <w:lang w:eastAsia="cs-CZ"/>
        </w:rPr>
        <w:t xml:space="preserve">jednotlivá </w:t>
      </w:r>
      <w:r w:rsidR="00483768">
        <w:rPr>
          <w:rFonts w:eastAsia="Times New Roman"/>
          <w:color w:val="131314"/>
          <w:sz w:val="22"/>
          <w:szCs w:val="22"/>
          <w:lang w:eastAsia="cs-CZ"/>
        </w:rPr>
        <w:t xml:space="preserve">zjištění (s. 39). </w:t>
      </w:r>
    </w:p>
    <w:p w:rsidR="002C3305" w:rsidRPr="00B3234D" w:rsidRDefault="002C3305" w:rsidP="002C3305">
      <w:pPr>
        <w:rPr>
          <w:rFonts w:eastAsia="Times New Roman"/>
          <w:color w:val="131314"/>
          <w:sz w:val="22"/>
          <w:szCs w:val="22"/>
          <w:lang w:eastAsia="cs-CZ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83768" w:rsidP="002313D7">
            <w:pPr>
              <w:pStyle w:val="Obsahtabulky"/>
              <w:snapToGrid w:val="0"/>
              <w:spacing w:line="276" w:lineRule="auto"/>
              <w:jc w:val="both"/>
            </w:pPr>
            <w:r>
              <w:t>3</w:t>
            </w:r>
          </w:p>
        </w:tc>
      </w:tr>
    </w:tbl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IV. Formální náležitosti práce a její úprava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802803" w:rsidRDefault="006B039F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P</w:t>
      </w:r>
      <w:r w:rsidR="00E258A1" w:rsidRPr="002313D7">
        <w:rPr>
          <w:sz w:val="22"/>
          <w:szCs w:val="22"/>
        </w:rPr>
        <w:t>ředkládan</w:t>
      </w:r>
      <w:r w:rsidR="00837116" w:rsidRPr="002313D7">
        <w:rPr>
          <w:sz w:val="22"/>
          <w:szCs w:val="22"/>
        </w:rPr>
        <w:t>ou</w:t>
      </w:r>
      <w:r w:rsidR="00E258A1" w:rsidRPr="002313D7">
        <w:rPr>
          <w:sz w:val="22"/>
          <w:szCs w:val="22"/>
        </w:rPr>
        <w:t xml:space="preserve"> p</w:t>
      </w:r>
      <w:r w:rsidR="00E04637" w:rsidRPr="002313D7">
        <w:rPr>
          <w:sz w:val="22"/>
          <w:szCs w:val="22"/>
        </w:rPr>
        <w:t>rác</w:t>
      </w:r>
      <w:r w:rsidR="00837116" w:rsidRPr="002313D7">
        <w:rPr>
          <w:sz w:val="22"/>
          <w:szCs w:val="22"/>
        </w:rPr>
        <w:t xml:space="preserve">i považuji za </w:t>
      </w:r>
      <w:r w:rsidR="00483768">
        <w:rPr>
          <w:sz w:val="22"/>
          <w:szCs w:val="22"/>
        </w:rPr>
        <w:t xml:space="preserve">zvládnutou, </w:t>
      </w:r>
      <w:r w:rsidR="00483768" w:rsidRPr="002313D7">
        <w:rPr>
          <w:sz w:val="22"/>
          <w:szCs w:val="22"/>
        </w:rPr>
        <w:t>pravopisně spolehlivou</w:t>
      </w:r>
      <w:r w:rsidR="00483768">
        <w:rPr>
          <w:sz w:val="22"/>
          <w:szCs w:val="22"/>
        </w:rPr>
        <w:t>, snad místy stylisticky kolísající. A</w:t>
      </w:r>
      <w:r w:rsidR="004263A6" w:rsidRPr="002313D7">
        <w:rPr>
          <w:sz w:val="22"/>
          <w:szCs w:val="22"/>
        </w:rPr>
        <w:t xml:space="preserve">utorka </w:t>
      </w:r>
      <w:r w:rsidRPr="002313D7">
        <w:rPr>
          <w:sz w:val="22"/>
          <w:szCs w:val="22"/>
        </w:rPr>
        <w:t xml:space="preserve">bezpečně </w:t>
      </w:r>
      <w:r w:rsidR="000D69EC" w:rsidRPr="002313D7">
        <w:rPr>
          <w:sz w:val="22"/>
          <w:szCs w:val="22"/>
        </w:rPr>
        <w:t>pracuje s prameny i se sekundární literatur</w:t>
      </w:r>
      <w:r w:rsidRPr="002313D7">
        <w:rPr>
          <w:sz w:val="22"/>
          <w:szCs w:val="22"/>
        </w:rPr>
        <w:t>o</w:t>
      </w:r>
      <w:r w:rsidR="000D69EC" w:rsidRPr="002313D7">
        <w:rPr>
          <w:sz w:val="22"/>
          <w:szCs w:val="22"/>
        </w:rPr>
        <w:t xml:space="preserve">u a dodržuje </w:t>
      </w:r>
      <w:r w:rsidR="004263A6" w:rsidRPr="002313D7">
        <w:rPr>
          <w:sz w:val="22"/>
          <w:szCs w:val="22"/>
        </w:rPr>
        <w:t>citační normy</w:t>
      </w:r>
      <w:r w:rsidR="00E84CFC" w:rsidRPr="002313D7">
        <w:rPr>
          <w:sz w:val="22"/>
          <w:szCs w:val="22"/>
        </w:rPr>
        <w:t xml:space="preserve">. </w:t>
      </w:r>
    </w:p>
    <w:p w:rsidR="00483768" w:rsidRDefault="00483768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8C2E43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V. Otázky doporučené k rozpravě při obhajobě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970D9E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1.</w:t>
      </w:r>
      <w:r w:rsidR="00C0351C" w:rsidRPr="002313D7">
        <w:rPr>
          <w:sz w:val="22"/>
          <w:szCs w:val="22"/>
        </w:rPr>
        <w:t xml:space="preserve"> </w:t>
      </w:r>
      <w:r w:rsidR="00C65108">
        <w:rPr>
          <w:sz w:val="22"/>
          <w:szCs w:val="22"/>
        </w:rPr>
        <w:t xml:space="preserve">V závěru autorka píše o tom, že </w:t>
      </w:r>
      <w:r w:rsidR="00970D9E">
        <w:rPr>
          <w:sz w:val="22"/>
          <w:szCs w:val="22"/>
        </w:rPr>
        <w:t>ve vybraných textech (navzdory rozdílům v autorském přístupu) je</w:t>
      </w:r>
      <w:r w:rsidR="00C65108">
        <w:rPr>
          <w:sz w:val="22"/>
          <w:szCs w:val="22"/>
        </w:rPr>
        <w:t xml:space="preserve"> ženská zkušenost klíčovým dramaturgický</w:t>
      </w:r>
      <w:r w:rsidR="00970D9E">
        <w:rPr>
          <w:sz w:val="22"/>
          <w:szCs w:val="22"/>
        </w:rPr>
        <w:t>m a interpretačním prvkem. Mohla by v krátkém shrnutí pojmenovat tyto „společné vzorce“ ve vývoji postav i řešení konfliktů (s. 44)?</w:t>
      </w:r>
    </w:p>
    <w:p w:rsidR="00970D9E" w:rsidRDefault="00970D9E" w:rsidP="002313D7">
      <w:pPr>
        <w:jc w:val="both"/>
        <w:rPr>
          <w:sz w:val="22"/>
          <w:szCs w:val="22"/>
        </w:rPr>
      </w:pPr>
    </w:p>
    <w:p w:rsidR="00802803" w:rsidRPr="002313D7" w:rsidRDefault="00802803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2. </w:t>
      </w:r>
      <w:r w:rsidR="00C65108">
        <w:rPr>
          <w:sz w:val="22"/>
          <w:szCs w:val="22"/>
        </w:rPr>
        <w:t xml:space="preserve">Nakolik by recenzní ohlas na pojednané inscenace (či přímo divadelní hry) autorce pomohl </w:t>
      </w:r>
      <w:r w:rsidR="00970D9E">
        <w:rPr>
          <w:sz w:val="22"/>
          <w:szCs w:val="22"/>
        </w:rPr>
        <w:t xml:space="preserve">při analýze </w:t>
      </w:r>
      <w:r w:rsidR="00C65108">
        <w:rPr>
          <w:sz w:val="22"/>
          <w:szCs w:val="22"/>
        </w:rPr>
        <w:t xml:space="preserve">hlavních témat práce (ženské postavy; konflikty a frustrace; atd.)?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VI. Celkové hodnocení</w:t>
      </w:r>
      <w:r w:rsidRPr="002313D7">
        <w:rPr>
          <w:sz w:val="22"/>
          <w:szCs w:val="22"/>
        </w:rPr>
        <w:t xml:space="preserve"> (doporučení/nedoporučení k obhajobě)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Bakalářskou práci doporučuji k obhajobě.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VII. Návrh klasifikace</w:t>
      </w:r>
      <w:r w:rsidRPr="002313D7">
        <w:rPr>
          <w:sz w:val="22"/>
          <w:szCs w:val="22"/>
        </w:rPr>
        <w:t xml:space="preserve"> (podle bodového ohodnocení)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Bakalářskou práci navrhuji klasifikovat známkou </w:t>
      </w:r>
      <w:r w:rsidR="008C2E43" w:rsidRPr="002313D7">
        <w:rPr>
          <w:b/>
          <w:sz w:val="22"/>
          <w:szCs w:val="22"/>
        </w:rPr>
        <w:t>výborně</w:t>
      </w:r>
      <w:r w:rsidR="008E3E81">
        <w:rPr>
          <w:b/>
          <w:sz w:val="22"/>
          <w:szCs w:val="22"/>
        </w:rPr>
        <w:t xml:space="preserve"> mínus </w:t>
      </w:r>
      <w:r w:rsidRPr="002313D7">
        <w:rPr>
          <w:b/>
          <w:sz w:val="22"/>
          <w:szCs w:val="22"/>
        </w:rPr>
        <w:t>–</w:t>
      </w:r>
      <w:r w:rsidR="005613AD" w:rsidRPr="002313D7">
        <w:rPr>
          <w:b/>
          <w:sz w:val="22"/>
          <w:szCs w:val="22"/>
        </w:rPr>
        <w:t xml:space="preserve"> </w:t>
      </w:r>
      <w:r w:rsidRPr="002313D7">
        <w:rPr>
          <w:sz w:val="22"/>
          <w:szCs w:val="22"/>
        </w:rPr>
        <w:t>(</w:t>
      </w:r>
      <w:r w:rsidR="005613AD" w:rsidRPr="002313D7">
        <w:rPr>
          <w:sz w:val="22"/>
          <w:szCs w:val="22"/>
        </w:rPr>
        <w:t>1</w:t>
      </w:r>
      <w:r w:rsidR="008E3E81">
        <w:rPr>
          <w:sz w:val="22"/>
          <w:szCs w:val="22"/>
        </w:rPr>
        <w:t>4</w:t>
      </w:r>
      <w:r w:rsidR="005613AD" w:rsidRPr="002313D7">
        <w:rPr>
          <w:sz w:val="22"/>
          <w:szCs w:val="22"/>
        </w:rPr>
        <w:t xml:space="preserve"> </w:t>
      </w:r>
      <w:r w:rsidRPr="002313D7">
        <w:rPr>
          <w:sz w:val="22"/>
          <w:szCs w:val="22"/>
        </w:rPr>
        <w:t xml:space="preserve">bodů).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datum: </w:t>
      </w:r>
      <w:r w:rsidR="005613AD" w:rsidRPr="002313D7">
        <w:rPr>
          <w:sz w:val="22"/>
          <w:szCs w:val="22"/>
        </w:rPr>
        <w:t>1</w:t>
      </w:r>
      <w:r w:rsidR="00802803" w:rsidRPr="002313D7">
        <w:rPr>
          <w:sz w:val="22"/>
          <w:szCs w:val="22"/>
        </w:rPr>
        <w:t>7</w:t>
      </w:r>
      <w:r w:rsidRPr="002313D7">
        <w:rPr>
          <w:sz w:val="22"/>
          <w:szCs w:val="22"/>
        </w:rPr>
        <w:t xml:space="preserve">. </w:t>
      </w:r>
      <w:r w:rsidR="00E8086F">
        <w:rPr>
          <w:sz w:val="22"/>
          <w:szCs w:val="22"/>
        </w:rPr>
        <w:t>8</w:t>
      </w:r>
      <w:r w:rsidRPr="002313D7">
        <w:rPr>
          <w:sz w:val="22"/>
          <w:szCs w:val="22"/>
        </w:rPr>
        <w:t>. 202</w:t>
      </w:r>
      <w:r w:rsidR="005613AD" w:rsidRPr="002313D7">
        <w:rPr>
          <w:sz w:val="22"/>
          <w:szCs w:val="22"/>
        </w:rPr>
        <w:t>5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______________________________________________________________________________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Tabulka bodového hodnocení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2313D7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313D7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313D7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2313D7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lastRenderedPageBreak/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313D7">
                <w:rPr>
                  <w:b/>
                  <w:sz w:val="22"/>
                  <w:szCs w:val="22"/>
                </w:rPr>
                <w:t>4 a</w:t>
              </w:r>
            </w:smartTag>
            <w:r w:rsidRPr="002313D7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2313D7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</w:pPr>
            <w:r w:rsidRPr="002313D7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0A209A" w:rsidRPr="002313D7" w:rsidRDefault="00AB2DAB" w:rsidP="002313D7">
      <w:pPr>
        <w:jc w:val="both"/>
        <w:rPr>
          <w:sz w:val="22"/>
          <w:szCs w:val="22"/>
        </w:rPr>
      </w:pPr>
    </w:p>
    <w:sectPr w:rsidR="000A209A" w:rsidRPr="002313D7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DAB" w:rsidRDefault="00AB2DAB" w:rsidP="004263A6">
      <w:r>
        <w:separator/>
      </w:r>
    </w:p>
  </w:endnote>
  <w:endnote w:type="continuationSeparator" w:id="0">
    <w:p w:rsidR="00AB2DAB" w:rsidRDefault="00AB2DAB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DAB" w:rsidRDefault="00AB2DAB" w:rsidP="004263A6">
      <w:r>
        <w:separator/>
      </w:r>
    </w:p>
  </w:footnote>
  <w:footnote w:type="continuationSeparator" w:id="0">
    <w:p w:rsidR="00AB2DAB" w:rsidRDefault="00AB2DAB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B1794"/>
    <w:rsid w:val="000D69EC"/>
    <w:rsid w:val="000E6218"/>
    <w:rsid w:val="001256F9"/>
    <w:rsid w:val="001A4300"/>
    <w:rsid w:val="001A76F4"/>
    <w:rsid w:val="001B07CD"/>
    <w:rsid w:val="001D054B"/>
    <w:rsid w:val="001D28AD"/>
    <w:rsid w:val="001E1849"/>
    <w:rsid w:val="001E6CA5"/>
    <w:rsid w:val="002313D7"/>
    <w:rsid w:val="00242145"/>
    <w:rsid w:val="00255D5E"/>
    <w:rsid w:val="00273FEA"/>
    <w:rsid w:val="00283A02"/>
    <w:rsid w:val="002B4AAF"/>
    <w:rsid w:val="002B58FA"/>
    <w:rsid w:val="002C3305"/>
    <w:rsid w:val="002D3B81"/>
    <w:rsid w:val="003146ED"/>
    <w:rsid w:val="0033545E"/>
    <w:rsid w:val="0033667A"/>
    <w:rsid w:val="00356527"/>
    <w:rsid w:val="00397167"/>
    <w:rsid w:val="003C5ACC"/>
    <w:rsid w:val="00404F27"/>
    <w:rsid w:val="004263A6"/>
    <w:rsid w:val="00444098"/>
    <w:rsid w:val="00483768"/>
    <w:rsid w:val="00490120"/>
    <w:rsid w:val="004907F7"/>
    <w:rsid w:val="00492799"/>
    <w:rsid w:val="004C4723"/>
    <w:rsid w:val="00512D6C"/>
    <w:rsid w:val="0051794C"/>
    <w:rsid w:val="00525DB7"/>
    <w:rsid w:val="00534D26"/>
    <w:rsid w:val="005613AD"/>
    <w:rsid w:val="00567859"/>
    <w:rsid w:val="005A108C"/>
    <w:rsid w:val="006713F4"/>
    <w:rsid w:val="00675AFF"/>
    <w:rsid w:val="006937A3"/>
    <w:rsid w:val="006944E3"/>
    <w:rsid w:val="006A4514"/>
    <w:rsid w:val="006B039F"/>
    <w:rsid w:val="007026B1"/>
    <w:rsid w:val="00711F61"/>
    <w:rsid w:val="00765DC9"/>
    <w:rsid w:val="007D0ADD"/>
    <w:rsid w:val="007D3C35"/>
    <w:rsid w:val="007E7597"/>
    <w:rsid w:val="00802803"/>
    <w:rsid w:val="00802862"/>
    <w:rsid w:val="00837116"/>
    <w:rsid w:val="00854BC2"/>
    <w:rsid w:val="00887646"/>
    <w:rsid w:val="008C2E43"/>
    <w:rsid w:val="008E3E81"/>
    <w:rsid w:val="008F537D"/>
    <w:rsid w:val="0096536A"/>
    <w:rsid w:val="00967B30"/>
    <w:rsid w:val="00970D9E"/>
    <w:rsid w:val="009C60E1"/>
    <w:rsid w:val="00A61AAE"/>
    <w:rsid w:val="00A819B4"/>
    <w:rsid w:val="00AB0519"/>
    <w:rsid w:val="00AB2DAB"/>
    <w:rsid w:val="00AD395B"/>
    <w:rsid w:val="00AF42B6"/>
    <w:rsid w:val="00B13BD9"/>
    <w:rsid w:val="00B24635"/>
    <w:rsid w:val="00B4273C"/>
    <w:rsid w:val="00B73C01"/>
    <w:rsid w:val="00BB34AE"/>
    <w:rsid w:val="00C0351C"/>
    <w:rsid w:val="00C3772A"/>
    <w:rsid w:val="00C65108"/>
    <w:rsid w:val="00CB5217"/>
    <w:rsid w:val="00CB5D09"/>
    <w:rsid w:val="00D03A19"/>
    <w:rsid w:val="00D1068A"/>
    <w:rsid w:val="00D1578A"/>
    <w:rsid w:val="00DC352D"/>
    <w:rsid w:val="00DC652A"/>
    <w:rsid w:val="00E04637"/>
    <w:rsid w:val="00E258A1"/>
    <w:rsid w:val="00E8086F"/>
    <w:rsid w:val="00E84CFC"/>
    <w:rsid w:val="00EA3ADA"/>
    <w:rsid w:val="00ED4D43"/>
    <w:rsid w:val="00ED73EB"/>
    <w:rsid w:val="00EE40A2"/>
    <w:rsid w:val="00EE588F"/>
    <w:rsid w:val="00F02748"/>
    <w:rsid w:val="00F41EBB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722</Words>
  <Characters>4169</Characters>
  <Application>Microsoft Office Word</Application>
  <DocSecurity>0</DocSecurity>
  <Lines>74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3</cp:revision>
  <dcterms:created xsi:type="dcterms:W3CDTF">2025-08-21T10:11:00Z</dcterms:created>
  <dcterms:modified xsi:type="dcterms:W3CDTF">2025-08-21T10:30:00Z</dcterms:modified>
</cp:coreProperties>
</file>