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2C1B" w:rsidRPr="00191177" w:rsidRDefault="00902C1B" w:rsidP="00902C1B">
      <w:pPr>
        <w:spacing w:line="240" w:lineRule="auto"/>
        <w:rPr>
          <w:b/>
          <w:sz w:val="28"/>
          <w:szCs w:val="28"/>
        </w:rPr>
      </w:pPr>
      <w:r w:rsidRPr="00191177">
        <w:rPr>
          <w:b/>
          <w:sz w:val="28"/>
          <w:szCs w:val="28"/>
        </w:rPr>
        <w:t>Oponentský posudek na bakalářskou práci Nikoly Janovské: Ženské hroby z 2. století a počátku 3. století n. l. v Čechách a na Moravě. Bakalářská práce. Ústav historických věd. Filozofická fakulta. Univerzita Pardubice. Pardubice 2018.</w:t>
      </w:r>
    </w:p>
    <w:p w:rsidR="00902C1B" w:rsidRPr="00191177" w:rsidRDefault="00902C1B" w:rsidP="00902C1B">
      <w:pPr>
        <w:spacing w:line="240" w:lineRule="auto"/>
        <w:rPr>
          <w:b/>
          <w:sz w:val="28"/>
          <w:szCs w:val="28"/>
        </w:rPr>
      </w:pPr>
    </w:p>
    <w:p w:rsidR="00902C1B" w:rsidRPr="00191177" w:rsidRDefault="00902C1B" w:rsidP="00902C1B">
      <w:pPr>
        <w:spacing w:line="240" w:lineRule="auto"/>
      </w:pPr>
      <w:r w:rsidRPr="00191177">
        <w:t>Oponent: PhDr. Jan Musil</w:t>
      </w:r>
    </w:p>
    <w:p w:rsidR="00902C1B" w:rsidRPr="00191177" w:rsidRDefault="00902C1B" w:rsidP="00902C1B">
      <w:pPr>
        <w:spacing w:line="240" w:lineRule="auto"/>
      </w:pPr>
      <w:r w:rsidRPr="00191177">
        <w:t>Text: 10-67; Soupis ženských antropologicky a archeologicky určených hrobů: 75-73; Obrazová příloha: 24; Mapy: 1; Grafy: 14; Tabulky v textu: 5; Databáze na přiloženém CD-ROM.</w:t>
      </w:r>
    </w:p>
    <w:p w:rsidR="00902C1B" w:rsidRPr="00191177" w:rsidRDefault="00902C1B" w:rsidP="00902C1B">
      <w:pPr>
        <w:spacing w:line="240" w:lineRule="auto"/>
      </w:pPr>
    </w:p>
    <w:p w:rsidR="00902C1B" w:rsidRPr="00191177" w:rsidRDefault="00902C1B" w:rsidP="00902C1B">
      <w:pPr>
        <w:spacing w:line="240" w:lineRule="auto"/>
      </w:pPr>
      <w:r w:rsidRPr="00191177">
        <w:t>Úvod (s. 10-13); Dějiny bádání o pohřebištích doby římské v Čechách a na Moravě (s. 14 – 22); Teoretické a metodologické přístupy k pohřbívání v zahraniční literatuře (s. 23 – 30); Žárové hroby z pohledu historické antropologie (s. 31 – 33); Metoda zpracování (s. 34 – 39); Pohřebiště z 2. století a počátku 3. století n. l. (s. 40 – 44); Analýza ženských hrobů z 2. století a počátku 3. století n. l. (s. 44 – 65); Závěr (s. 66 – 67); Resumé (s. 68 – 69); Seznam použité literatury (s. 70 – 74); Přílohy (s. 75 – 97).</w:t>
      </w:r>
    </w:p>
    <w:p w:rsidR="00902C1B" w:rsidRPr="00191177" w:rsidRDefault="00902C1B" w:rsidP="00902C1B">
      <w:pPr>
        <w:spacing w:line="240" w:lineRule="auto"/>
        <w:ind w:firstLine="708"/>
      </w:pPr>
    </w:p>
    <w:p w:rsidR="00902C1B" w:rsidRPr="00191177" w:rsidRDefault="00902C1B" w:rsidP="00902C1B">
      <w:pPr>
        <w:spacing w:line="240" w:lineRule="auto"/>
        <w:ind w:firstLine="708"/>
      </w:pPr>
      <w:r w:rsidRPr="00191177">
        <w:t xml:space="preserve">Téma bakalářské práce vyplývá již z jejího názvu. Nikola Janovská se chopila velmi obtížného tématu, jakým je postihnutí problematiky ženských hrobů z 2. a poč. 3. století n. </w:t>
      </w:r>
      <w:proofErr w:type="gramStart"/>
      <w:r w:rsidRPr="00191177">
        <w:t>l.  v Čechách</w:t>
      </w:r>
      <w:proofErr w:type="gramEnd"/>
      <w:r w:rsidRPr="00191177">
        <w:t xml:space="preserve"> a na Moravě. Z rozsahu zadání je zřejmé, že takto definované téma značně přesahuje nároky kladené na studenty bakalářského studijního programu. Autorka využila kombinace nástrojů MS Access a MS Excel při vyhodnocování souboru dat.</w:t>
      </w:r>
    </w:p>
    <w:p w:rsidR="00902C1B" w:rsidRPr="00191177" w:rsidRDefault="00902C1B" w:rsidP="00902C1B">
      <w:pPr>
        <w:pStyle w:val="Default"/>
        <w:ind w:firstLine="708"/>
        <w:jc w:val="both"/>
      </w:pPr>
      <w:r w:rsidRPr="00191177">
        <w:t>V úvodní kapitole autorka nastínila základní cíle práce, a to vyhodnocení pohřebního ritu vybraných ženských hrobů ve vybraném časovém úseku 2. století a počátku 3. století n. l. (</w:t>
      </w:r>
      <w:proofErr w:type="spellStart"/>
      <w:r w:rsidRPr="00191177">
        <w:t>Eggersovy</w:t>
      </w:r>
      <w:proofErr w:type="spellEnd"/>
      <w:r w:rsidRPr="00191177">
        <w:t xml:space="preserve"> stupně B2 – C1) na území Čech a Moravy, případně zjištění možné závislosti podoby hrobové výbavy s věkem žen. Jedná se o přelomovou epochu na rozhraní starší a mladší doby římské. Zdrojové informace autorka čerpala z publikovaných hrobových celků. Z formálního hlediska je nutno upozornit na „kosmetickou vadu“, že úvod označila autorka jako nultou kapitolu. </w:t>
      </w:r>
    </w:p>
    <w:p w:rsidR="00902C1B" w:rsidRPr="00191177" w:rsidRDefault="00902C1B" w:rsidP="00902C1B">
      <w:pPr>
        <w:pStyle w:val="Default"/>
        <w:ind w:firstLine="708"/>
        <w:jc w:val="both"/>
      </w:pPr>
      <w:r w:rsidRPr="00191177">
        <w:t xml:space="preserve">Následující řádky jsou věnovány postihnutí dějin bádání o funerální archeologii doby římské na našem území (kap. 1). Autorčina periodizace dějiny bádání odpovídá </w:t>
      </w:r>
      <w:r>
        <w:t xml:space="preserve">4 </w:t>
      </w:r>
      <w:r w:rsidRPr="00191177">
        <w:t>obdobím</w:t>
      </w:r>
      <w:r>
        <w:t>:</w:t>
      </w:r>
      <w:r w:rsidRPr="00191177">
        <w:t xml:space="preserve"> před první světovou válkou, období meziválečné, období po druhé světové válce do roku 2000 a konečně od roku 2000 až po současnost. Na tomto místě je třeba položit si otázku, proč jsou jednotlivé „periody“ takto vymezeny. Čím je například tak výjimečný rok 2000? Jedná se pouze o „mechanické“ datum oddělující jiné století?</w:t>
      </w:r>
    </w:p>
    <w:p w:rsidR="00902C1B" w:rsidRPr="00191177" w:rsidRDefault="00902C1B" w:rsidP="00902C1B">
      <w:pPr>
        <w:pStyle w:val="Default"/>
        <w:ind w:firstLine="708"/>
        <w:jc w:val="both"/>
      </w:pPr>
      <w:r w:rsidRPr="00191177">
        <w:t xml:space="preserve">V další kapitole (kap. 2) jsou představeny teoretické a metodologické přístupy k řešení problematiky pohřbívání, přičemž se dotýká přístupu k pohřbívání v rámci jednotlivých archeologických paradigmat a poznatků tzv. gender </w:t>
      </w:r>
      <w:proofErr w:type="spellStart"/>
      <w:r w:rsidRPr="00191177">
        <w:t>archaeology</w:t>
      </w:r>
      <w:proofErr w:type="spellEnd"/>
      <w:r w:rsidRPr="00191177">
        <w:t xml:space="preserve">. Kapitola je spíše popisná, nevyplývá z ní úplně zjevně, ke kterému myšlenkovému proudu autorka směřuje. Další teoreticky zaměřená kapitola (kap. 3) se týká aplikace antropologického zkoumání žárových hrobů, přičemž je zmíněna role antropologie v archeologických analýzách, ale i její limity.  </w:t>
      </w:r>
    </w:p>
    <w:p w:rsidR="00902C1B" w:rsidRPr="00191177" w:rsidRDefault="00902C1B" w:rsidP="00902C1B">
      <w:pPr>
        <w:pStyle w:val="Default"/>
        <w:ind w:firstLine="708"/>
        <w:jc w:val="both"/>
      </w:pPr>
      <w:r w:rsidRPr="00191177">
        <w:t xml:space="preserve">Završením teoretické části práce je kapitola věnovaná použitým metodám zpracováním hrobových nálezů. Jako hlavní analyzační nástroj byla užita databáze MS </w:t>
      </w:r>
      <w:proofErr w:type="spellStart"/>
      <w:r w:rsidRPr="00191177">
        <w:t>Acces</w:t>
      </w:r>
      <w:proofErr w:type="spellEnd"/>
      <w:r w:rsidRPr="00191177">
        <w:t xml:space="preserve">, z níž byla data filtrována a zpracována formou grafů v prostředí MS Excel (užité sloupcové a koláčové grafy). Detailně je rozepsána struktura databáze a výčet sledovaných znaků, bohužel </w:t>
      </w:r>
      <w:r w:rsidRPr="00191177">
        <w:lastRenderedPageBreak/>
        <w:t xml:space="preserve">chybí zde uvedení datového typu jednotlivých polí. Je patrná inspirace prací D. Kroupové (2017) a I. </w:t>
      </w:r>
      <w:proofErr w:type="spellStart"/>
      <w:r w:rsidRPr="00191177">
        <w:t>Kvetánové</w:t>
      </w:r>
      <w:proofErr w:type="spellEnd"/>
      <w:r w:rsidRPr="00191177">
        <w:t xml:space="preserve"> (2010</w:t>
      </w:r>
      <w:r>
        <w:t>), což N. J</w:t>
      </w:r>
      <w:r w:rsidRPr="00191177">
        <w:t>anovská korektně otevřeně přiznává (s. 35). Na tomto místě oceňuji detailní náhled do formulářové struktury databáze</w:t>
      </w:r>
      <w:r>
        <w:t>, ačkoliv na přiloženém CD je k dispozici databáze v „očesané“ podobě základní tabulky</w:t>
      </w:r>
      <w:r w:rsidRPr="00191177">
        <w:t xml:space="preserve">. </w:t>
      </w:r>
    </w:p>
    <w:p w:rsidR="00902C1B" w:rsidRPr="00191177" w:rsidRDefault="00902C1B" w:rsidP="00902C1B">
      <w:pPr>
        <w:pStyle w:val="Default"/>
        <w:ind w:firstLine="708"/>
        <w:jc w:val="both"/>
      </w:pPr>
      <w:r w:rsidRPr="00191177">
        <w:t xml:space="preserve">V páté kapitole je představena pramenná základna, tj. pohřebiště z 2. – počátku 3. století n. l. Do analýzy vstoupilo 181 hrobů z celkem 12 lokalit v Čechách a na Moravě (srov. Obrázek 5.1), ale pouze 105 hrobů bylo antropologicky zkoumáno.  Z tohoto počtu představují ženské hroby pouze 20/23 jistých záznamů. Jednotlivé dílčí výsledky jsou podrobně popsány a přehledně zvýrazněny pomocí přehledných výsečových i sloupcových grafů. </w:t>
      </w:r>
    </w:p>
    <w:p w:rsidR="00902C1B" w:rsidRPr="00191177" w:rsidRDefault="00902C1B" w:rsidP="00902C1B">
      <w:pPr>
        <w:pStyle w:val="Default"/>
        <w:ind w:firstLine="708"/>
        <w:jc w:val="both"/>
      </w:pPr>
      <w:r w:rsidRPr="00191177">
        <w:t xml:space="preserve">Jádro práce představuje kap. 6, v níž jsou všechna data podrobně analyzována. O správnosti autorčina postupu separace a analýzy mimo jiné svědčí i výsledky odpovídající Gaussově křivce normálního rozložení. Aby autorka podala co možná nejlepší obraz, nevyhnula se ani analýze mužských hrobů. Mohla tak porovnat mezi sebou výsledky analýzy obou skupin. Na rozdíl od mužských hrobů chybí mezi pohřbenými ženami zcela kategorie </w:t>
      </w:r>
      <w:proofErr w:type="spellStart"/>
      <w:r w:rsidRPr="00191177">
        <w:t>senilis</w:t>
      </w:r>
      <w:proofErr w:type="spellEnd"/>
      <w:r w:rsidRPr="00191177">
        <w:t>. Naprostá většina žen zemřela v  rozmezí 20 – 40 let věku. V případě závislosti výzdoby na pohlaví, popř. na věku zemřelé osoby bych byl opatrnější. U mužských hrobů poměr zdobená/nezdobená keramika činí 1 : 2,2 u ženských hrobů 1,3 : 1. Z hlediska zastoupení jednotlivých typů výzdoby v závislosti na věku je to ještě méně markantní. Nesmíme zapomínat na to, že soubor 23 hrobů je na samé hraně statistické významnosti. Každopádně do budoucna je třeba sledovat další doklady hrobů z tohoto období. Není asi překvapující, že ženské hroby obsahují větší množství šperků a skleněných předmětů než soudobé hroby mužské. Na závěr kapitoly jsou shrnuty dílčí závěry a konfrontovány s další odbornou literaturou. Autorka se přiklání k názoru, že hrobová výbava byla užívána pro naznačení moci a genderu. Rovněž se zamýšlí nad problematikou hrobů, u nichž nebyla provedena antropologická analýza. Poukazuje tak zejména na fakt, že přítomnost militarií v hrobové výbavě nemusí znamenat, že pohřbenou osobou je muž.</w:t>
      </w:r>
    </w:p>
    <w:p w:rsidR="00902C1B" w:rsidRPr="00191177" w:rsidRDefault="00902C1B" w:rsidP="00902C1B">
      <w:pPr>
        <w:pStyle w:val="Default"/>
        <w:ind w:firstLine="708"/>
        <w:jc w:val="both"/>
      </w:pPr>
      <w:r w:rsidRPr="00191177">
        <w:t>Milým překvapením je i poměrně stručný dobře strukturovaný závěr obsahující shrnutí dosažených výsledků.</w:t>
      </w:r>
    </w:p>
    <w:p w:rsidR="00902C1B" w:rsidRPr="00191177" w:rsidRDefault="00902C1B" w:rsidP="00902C1B">
      <w:pPr>
        <w:spacing w:line="240" w:lineRule="auto"/>
      </w:pPr>
      <w:r w:rsidRPr="00191177">
        <w:tab/>
        <w:t xml:space="preserve">Z formálního hlediska je nutno upozornit na autorkou užívané citace v plné i zkrácené podobě. Práce naplňuje předepsanou délku 50 stran textu bez příloh a soupisu literatury, který obsahuje chvályhodně i větší množství cizojazyčných titulů. Práce je psaná čtivě a gramaticky korektně, obsahuje jen minimální množství překlepů či neobratných formulací (např. „velké číslo“ místo velké množství na s. 49). Obrazová příloha je přehledná a ilustrativní, dokládající sledované jevy. Velkým pozitivem je mapka dislokace jednotlivých popisovaných pohřebišť na území Čech a Moravy. </w:t>
      </w:r>
    </w:p>
    <w:p w:rsidR="00902C1B" w:rsidRPr="00191177" w:rsidRDefault="00902C1B" w:rsidP="00902C1B">
      <w:pPr>
        <w:spacing w:line="240" w:lineRule="auto"/>
        <w:ind w:firstLine="708"/>
      </w:pPr>
      <w:r w:rsidRPr="00191177">
        <w:t xml:space="preserve">Práce naplňuje předepsanou délku (i když číslování stran je posunuto – úvod je stranou 10), předložená bakalářská práce splnila sledované zadání a cíle. Shrnula velké množství informací, které se pokusila utřídit a analyzovat zcela profesionálním způsobem dle moderních archeologických trendů. </w:t>
      </w:r>
    </w:p>
    <w:p w:rsidR="00902C1B" w:rsidRPr="00191177" w:rsidRDefault="00902C1B" w:rsidP="00902C1B">
      <w:pPr>
        <w:spacing w:line="240" w:lineRule="auto"/>
        <w:ind w:firstLine="708"/>
      </w:pPr>
      <w:r w:rsidRPr="00191177">
        <w:t>Práci doporučuji k obhajobě s hodnocením A, pevně doufám, že se v brzké době dočkáme její publikace.</w:t>
      </w:r>
    </w:p>
    <w:p w:rsidR="00902C1B" w:rsidRPr="00191177" w:rsidRDefault="00902C1B" w:rsidP="00902C1B">
      <w:pPr>
        <w:spacing w:line="240" w:lineRule="auto"/>
      </w:pPr>
    </w:p>
    <w:p w:rsidR="00902C1B" w:rsidRPr="00191177" w:rsidRDefault="00902C1B" w:rsidP="00902C1B">
      <w:pPr>
        <w:spacing w:line="240" w:lineRule="auto"/>
        <w:ind w:firstLine="708"/>
      </w:pPr>
      <w:r w:rsidRPr="00191177">
        <w:tab/>
      </w:r>
      <w:r w:rsidRPr="00191177">
        <w:tab/>
      </w:r>
      <w:r w:rsidRPr="00191177">
        <w:tab/>
      </w:r>
      <w:r w:rsidRPr="00191177">
        <w:tab/>
      </w:r>
      <w:r w:rsidRPr="00191177">
        <w:tab/>
      </w:r>
      <w:r w:rsidRPr="00191177">
        <w:tab/>
        <w:t>V Chrudimi 5. 8. 2018.</w:t>
      </w:r>
    </w:p>
    <w:p w:rsidR="00902C1B" w:rsidRPr="00191177" w:rsidRDefault="00902C1B" w:rsidP="00902C1B">
      <w:pPr>
        <w:spacing w:line="240" w:lineRule="auto"/>
        <w:ind w:firstLine="708"/>
      </w:pPr>
      <w:r w:rsidRPr="00191177">
        <w:tab/>
      </w:r>
      <w:r w:rsidRPr="00191177">
        <w:tab/>
      </w:r>
      <w:r w:rsidRPr="00191177">
        <w:tab/>
      </w:r>
      <w:r w:rsidRPr="00191177">
        <w:tab/>
      </w:r>
      <w:r w:rsidRPr="00191177">
        <w:tab/>
      </w:r>
      <w:r w:rsidRPr="00191177">
        <w:tab/>
      </w:r>
      <w:r w:rsidRPr="00191177">
        <w:tab/>
      </w:r>
      <w:r w:rsidRPr="00191177">
        <w:tab/>
      </w:r>
      <w:r w:rsidRPr="00191177">
        <w:tab/>
      </w:r>
      <w:r w:rsidRPr="00191177">
        <w:tab/>
      </w:r>
      <w:r w:rsidRPr="00191177">
        <w:tab/>
      </w:r>
      <w:r w:rsidRPr="00191177">
        <w:tab/>
      </w:r>
      <w:r>
        <w:tab/>
      </w:r>
      <w:r>
        <w:tab/>
      </w:r>
      <w:r>
        <w:tab/>
      </w:r>
      <w:r>
        <w:tab/>
      </w:r>
      <w:r>
        <w:tab/>
      </w:r>
      <w:r>
        <w:tab/>
      </w:r>
      <w:r w:rsidRPr="00191177">
        <w:t>PhDr. Jan Musil.</w:t>
      </w:r>
    </w:p>
    <w:p w:rsidR="00902C1B" w:rsidRPr="00191177" w:rsidRDefault="00902C1B" w:rsidP="00902C1B">
      <w:pPr>
        <w:spacing w:line="240" w:lineRule="auto"/>
        <w:ind w:firstLine="708"/>
      </w:pPr>
    </w:p>
    <w:p w:rsidR="00902C1B" w:rsidRPr="00191177" w:rsidRDefault="00902C1B" w:rsidP="00902C1B">
      <w:pPr>
        <w:spacing w:line="240" w:lineRule="auto"/>
      </w:pPr>
      <w:r w:rsidRPr="00191177">
        <w:lastRenderedPageBreak/>
        <w:t xml:space="preserve">Použitá literatura: </w:t>
      </w:r>
    </w:p>
    <w:p w:rsidR="00902C1B" w:rsidRPr="00191177" w:rsidRDefault="00902C1B" w:rsidP="00902C1B">
      <w:pPr>
        <w:spacing w:line="240" w:lineRule="auto"/>
        <w:rPr>
          <w:sz w:val="23"/>
          <w:szCs w:val="23"/>
        </w:rPr>
      </w:pPr>
      <w:r w:rsidRPr="00191177">
        <w:rPr>
          <w:sz w:val="23"/>
          <w:szCs w:val="23"/>
        </w:rPr>
        <w:t xml:space="preserve">KROUPOVÁ, D. 2017: </w:t>
      </w:r>
      <w:r w:rsidRPr="00191177">
        <w:rPr>
          <w:iCs/>
          <w:sz w:val="23"/>
          <w:szCs w:val="23"/>
        </w:rPr>
        <w:t xml:space="preserve">Charakteristika pohřebního ritu ve starším stupni doby stěhování národů v Čechách. </w:t>
      </w:r>
      <w:proofErr w:type="spellStart"/>
      <w:r w:rsidRPr="00191177">
        <w:rPr>
          <w:iCs/>
          <w:sz w:val="23"/>
          <w:szCs w:val="23"/>
        </w:rPr>
        <w:t>Nepubl</w:t>
      </w:r>
      <w:proofErr w:type="spellEnd"/>
      <w:r w:rsidRPr="00191177">
        <w:rPr>
          <w:iCs/>
          <w:sz w:val="23"/>
          <w:szCs w:val="23"/>
        </w:rPr>
        <w:t xml:space="preserve">. </w:t>
      </w:r>
      <w:proofErr w:type="spellStart"/>
      <w:r w:rsidRPr="00191177">
        <w:rPr>
          <w:iCs/>
          <w:sz w:val="23"/>
          <w:szCs w:val="23"/>
        </w:rPr>
        <w:t>Bak</w:t>
      </w:r>
      <w:proofErr w:type="spellEnd"/>
      <w:r w:rsidRPr="00191177">
        <w:rPr>
          <w:iCs/>
          <w:sz w:val="23"/>
          <w:szCs w:val="23"/>
        </w:rPr>
        <w:t>. Práce UHV UP.</w:t>
      </w:r>
      <w:r w:rsidRPr="00191177">
        <w:rPr>
          <w:i/>
          <w:iCs/>
          <w:sz w:val="23"/>
          <w:szCs w:val="23"/>
        </w:rPr>
        <w:t xml:space="preserve"> </w:t>
      </w:r>
      <w:r w:rsidRPr="00191177">
        <w:rPr>
          <w:sz w:val="23"/>
          <w:szCs w:val="23"/>
        </w:rPr>
        <w:t>Pardubice.</w:t>
      </w:r>
    </w:p>
    <w:p w:rsidR="00902C1B" w:rsidRPr="00155A41" w:rsidRDefault="00902C1B" w:rsidP="00902C1B">
      <w:pPr>
        <w:spacing w:line="240" w:lineRule="auto"/>
      </w:pPr>
      <w:r w:rsidRPr="00191177">
        <w:rPr>
          <w:sz w:val="23"/>
          <w:szCs w:val="23"/>
        </w:rPr>
        <w:t xml:space="preserve">KVETÁNOVÁ, I. 2010: Výzbroj a výstroj v </w:t>
      </w:r>
      <w:proofErr w:type="spellStart"/>
      <w:r w:rsidRPr="00191177">
        <w:rPr>
          <w:sz w:val="23"/>
          <w:szCs w:val="23"/>
        </w:rPr>
        <w:t>hrobov</w:t>
      </w:r>
      <w:proofErr w:type="spellEnd"/>
      <w:r w:rsidRPr="00191177">
        <w:rPr>
          <w:sz w:val="23"/>
          <w:szCs w:val="23"/>
        </w:rPr>
        <w:t xml:space="preserve"> germánských </w:t>
      </w:r>
      <w:proofErr w:type="spellStart"/>
      <w:r w:rsidRPr="00191177">
        <w:rPr>
          <w:sz w:val="23"/>
          <w:szCs w:val="23"/>
        </w:rPr>
        <w:t>žien</w:t>
      </w:r>
      <w:proofErr w:type="spellEnd"/>
      <w:r w:rsidRPr="00191177">
        <w:rPr>
          <w:sz w:val="23"/>
          <w:szCs w:val="23"/>
        </w:rPr>
        <w:t xml:space="preserve"> z </w:t>
      </w:r>
      <w:proofErr w:type="spellStart"/>
      <w:r w:rsidRPr="00191177">
        <w:rPr>
          <w:sz w:val="23"/>
          <w:szCs w:val="23"/>
        </w:rPr>
        <w:t>juhozápadného</w:t>
      </w:r>
      <w:proofErr w:type="spellEnd"/>
      <w:r w:rsidRPr="00191177">
        <w:rPr>
          <w:sz w:val="23"/>
          <w:szCs w:val="23"/>
        </w:rPr>
        <w:t xml:space="preserve"> Slovenska. In: ŠKOVIERA, Daniel – JURÍKOVÁ, Erika (</w:t>
      </w:r>
      <w:proofErr w:type="spellStart"/>
      <w:r w:rsidRPr="00191177">
        <w:rPr>
          <w:sz w:val="23"/>
          <w:szCs w:val="23"/>
        </w:rPr>
        <w:t>ed</w:t>
      </w:r>
      <w:proofErr w:type="spellEnd"/>
      <w:r w:rsidRPr="00191177">
        <w:rPr>
          <w:sz w:val="23"/>
          <w:szCs w:val="23"/>
        </w:rPr>
        <w:t xml:space="preserve">.): </w:t>
      </w:r>
      <w:proofErr w:type="spellStart"/>
      <w:r w:rsidRPr="00191177">
        <w:rPr>
          <w:i/>
          <w:iCs/>
          <w:sz w:val="23"/>
          <w:szCs w:val="23"/>
        </w:rPr>
        <w:t>Sambucus</w:t>
      </w:r>
      <w:proofErr w:type="spellEnd"/>
      <w:r w:rsidRPr="00191177">
        <w:rPr>
          <w:i/>
          <w:iCs/>
          <w:sz w:val="23"/>
          <w:szCs w:val="23"/>
        </w:rPr>
        <w:t xml:space="preserve">. </w:t>
      </w:r>
      <w:proofErr w:type="spellStart"/>
      <w:r w:rsidRPr="00191177">
        <w:rPr>
          <w:i/>
          <w:iCs/>
          <w:sz w:val="23"/>
          <w:szCs w:val="23"/>
        </w:rPr>
        <w:t>Suppl</w:t>
      </w:r>
      <w:proofErr w:type="spellEnd"/>
      <w:r w:rsidRPr="00191177">
        <w:rPr>
          <w:i/>
          <w:iCs/>
          <w:sz w:val="23"/>
          <w:szCs w:val="23"/>
        </w:rPr>
        <w:t xml:space="preserve">. </w:t>
      </w:r>
      <w:r w:rsidRPr="00191177">
        <w:rPr>
          <w:sz w:val="23"/>
          <w:szCs w:val="23"/>
        </w:rPr>
        <w:t>I., Trnava, 50-60.</w:t>
      </w:r>
    </w:p>
    <w:p w:rsidR="00BA1DC2" w:rsidRDefault="00BA1DC2">
      <w:bookmarkStart w:id="0" w:name="_GoBack"/>
      <w:bookmarkEnd w:id="0"/>
    </w:p>
    <w:sectPr w:rsidR="00BA1DC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2C1B"/>
    <w:rsid w:val="00902C1B"/>
    <w:rsid w:val="00BA1DC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aliases w:val="Zákl Musil"/>
    <w:qFormat/>
    <w:rsid w:val="00902C1B"/>
    <w:pPr>
      <w:spacing w:after="160" w:line="259" w:lineRule="auto"/>
      <w:jc w:val="both"/>
    </w:pPr>
    <w:rPr>
      <w:rFonts w:ascii="Times New Roman" w:eastAsia="Calibri" w:hAnsi="Times New Roman" w:cs="Times New Roman"/>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902C1B"/>
    <w:pPr>
      <w:autoSpaceDE w:val="0"/>
      <w:autoSpaceDN w:val="0"/>
      <w:adjustRightInd w:val="0"/>
      <w:spacing w:after="0" w:line="240" w:lineRule="auto"/>
    </w:pPr>
    <w:rPr>
      <w:rFonts w:ascii="Times New Roman" w:eastAsia="Calibri" w:hAnsi="Times New Roman" w:cs="Times New Roman"/>
      <w:color w:val="000000"/>
      <w:sz w:val="24"/>
      <w:szCs w:val="24"/>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aliases w:val="Zákl Musil"/>
    <w:qFormat/>
    <w:rsid w:val="00902C1B"/>
    <w:pPr>
      <w:spacing w:after="160" w:line="259" w:lineRule="auto"/>
      <w:jc w:val="both"/>
    </w:pPr>
    <w:rPr>
      <w:rFonts w:ascii="Times New Roman" w:eastAsia="Calibri" w:hAnsi="Times New Roman" w:cs="Times New Roman"/>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902C1B"/>
    <w:pPr>
      <w:autoSpaceDE w:val="0"/>
      <w:autoSpaceDN w:val="0"/>
      <w:adjustRightInd w:val="0"/>
      <w:spacing w:after="0" w:line="240" w:lineRule="auto"/>
    </w:pPr>
    <w:rPr>
      <w:rFonts w:ascii="Times New Roman" w:eastAsia="Calibri" w:hAnsi="Times New Roman" w:cs="Times New Roman"/>
      <w:color w:val="000000"/>
      <w:sz w:val="24"/>
      <w:szCs w:val="24"/>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1012</Words>
  <Characters>5975</Characters>
  <Application>Microsoft Office Word</Application>
  <DocSecurity>0</DocSecurity>
  <Lines>49</Lines>
  <Paragraphs>13</Paragraphs>
  <ScaleCrop>false</ScaleCrop>
  <Company>Univerzita Pardubice</Company>
  <LinksUpToDate>false</LinksUpToDate>
  <CharactersWithSpaces>6974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1</cp:revision>
  <dcterms:created xsi:type="dcterms:W3CDTF">2018-08-08T07:41:00Z</dcterms:created>
  <dcterms:modified xsi:type="dcterms:W3CDTF">2018-08-08T07:41:00Z</dcterms:modified>
</cp:coreProperties>
</file>