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51A" w:rsidRPr="005556A6" w:rsidRDefault="005556A6" w:rsidP="005556A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556A6">
        <w:rPr>
          <w:rFonts w:ascii="Times New Roman" w:hAnsi="Times New Roman" w:cs="Times New Roman"/>
          <w:b/>
          <w:sz w:val="24"/>
          <w:szCs w:val="24"/>
        </w:rPr>
        <w:t>Bc. Stanislav Jukl,</w:t>
      </w:r>
      <w:r w:rsidRPr="005556A6">
        <w:rPr>
          <w:rFonts w:ascii="Times New Roman" w:hAnsi="Times New Roman" w:cs="Times New Roman"/>
          <w:b/>
          <w:i/>
          <w:sz w:val="24"/>
          <w:szCs w:val="24"/>
        </w:rPr>
        <w:t xml:space="preserve"> Antisemitismus v Polsku v letech 1944-1968.</w:t>
      </w:r>
    </w:p>
    <w:p w:rsidR="005556A6" w:rsidRPr="005556A6" w:rsidRDefault="005556A6" w:rsidP="005556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556A6">
        <w:rPr>
          <w:rFonts w:ascii="Times New Roman" w:hAnsi="Times New Roman" w:cs="Times New Roman"/>
          <w:sz w:val="24"/>
          <w:szCs w:val="24"/>
        </w:rPr>
        <w:t>Diplomová práce.</w:t>
      </w:r>
    </w:p>
    <w:p w:rsidR="005556A6" w:rsidRPr="005556A6" w:rsidRDefault="005556A6" w:rsidP="005556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556A6">
        <w:rPr>
          <w:rFonts w:ascii="Times New Roman" w:hAnsi="Times New Roman" w:cs="Times New Roman"/>
          <w:sz w:val="24"/>
          <w:szCs w:val="24"/>
        </w:rPr>
        <w:t>Ústav historických věd Fakulty filozofické Univerzity Pardubice.</w:t>
      </w:r>
    </w:p>
    <w:p w:rsidR="005556A6" w:rsidRDefault="005556A6" w:rsidP="005556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556A6">
        <w:rPr>
          <w:rFonts w:ascii="Times New Roman" w:hAnsi="Times New Roman" w:cs="Times New Roman"/>
          <w:sz w:val="24"/>
          <w:szCs w:val="24"/>
        </w:rPr>
        <w:t>Posudek vedoucího práce</w:t>
      </w:r>
    </w:p>
    <w:p w:rsidR="005556A6" w:rsidRDefault="005556A6" w:rsidP="005556A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6A6" w:rsidRDefault="005556A6" w:rsidP="005556A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6A6" w:rsidRDefault="005556A6" w:rsidP="009B3B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Téma diplomové práce Bc. Stanislava Jukla – </w:t>
      </w:r>
      <w:r>
        <w:rPr>
          <w:rFonts w:ascii="Times New Roman" w:hAnsi="Times New Roman" w:cs="Times New Roman"/>
          <w:i/>
          <w:sz w:val="24"/>
          <w:szCs w:val="24"/>
        </w:rPr>
        <w:t>Antisemitismus v Polsku v letech 1944-1968</w:t>
      </w:r>
      <w:r>
        <w:rPr>
          <w:rFonts w:ascii="Times New Roman" w:hAnsi="Times New Roman" w:cs="Times New Roman"/>
          <w:sz w:val="24"/>
          <w:szCs w:val="24"/>
        </w:rPr>
        <w:t xml:space="preserve"> – je zcela nepochybně významné a, na rozdíl od </w:t>
      </w:r>
      <w:r>
        <w:rPr>
          <w:rFonts w:ascii="Times New Roman" w:hAnsi="Times New Roman" w:cs="Times New Roman"/>
          <w:sz w:val="24"/>
          <w:szCs w:val="24"/>
        </w:rPr>
        <w:t>polské</w:t>
      </w:r>
      <w:r>
        <w:rPr>
          <w:rFonts w:ascii="Times New Roman" w:hAnsi="Times New Roman" w:cs="Times New Roman"/>
          <w:sz w:val="24"/>
          <w:szCs w:val="24"/>
        </w:rPr>
        <w:t xml:space="preserve"> historiografie či obecně zahraniční historiografie, v českém odborné prostředí nepříliš diskutované. V pohledu na polsko-židovské soužití přetrvává řada stereotypů („hodní Židé / zlí Poláci“), které často bývají posilovány překlady literatury – odborné i popularizační – která jednostranné interpretaci nahrává.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556A6" w:rsidRDefault="005556A6" w:rsidP="009B3B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Autor k tématu přistoupil zjevně s úmyslem široce vysvětlit historické souvislosti polsko-židovského soužití a antisemitismu. Zhruba třetina textu tedy věnoval popisu událostí před rokem 1944. Domnívám se, že </w:t>
      </w:r>
      <w:r w:rsidR="006F28D7">
        <w:rPr>
          <w:rFonts w:ascii="Times New Roman" w:hAnsi="Times New Roman" w:cs="Times New Roman"/>
          <w:sz w:val="24"/>
          <w:szCs w:val="24"/>
        </w:rPr>
        <w:t>zde mohl být stručnější. Nebylo nutné zaobírat se různými antisemitskými aférami 19. století (Dreyfusova aféra; antisemitské motivy v případu Jacka Rozparovače; „rituální obvinění“ aj.), pokud přímo nesouvisely s polským prostředím. Snaha uvést co možná nejvíce informací vedla na mnoha místech k přílišné povrchnosti – např. vztah katolické církve a Židů je otázka velice komplikované a když už je zmíněna, stěží ji lze odpovědně zodpovědět na necelých dvou stranách (s. 26-27). Pasáží, kde se autor věnuje více popisu obecných dějin antisemitismu</w:t>
      </w:r>
      <w:r w:rsidR="00AC3912">
        <w:rPr>
          <w:rFonts w:ascii="Times New Roman" w:hAnsi="Times New Roman" w:cs="Times New Roman"/>
          <w:sz w:val="24"/>
          <w:szCs w:val="24"/>
        </w:rPr>
        <w:t xml:space="preserve"> </w:t>
      </w:r>
      <w:r w:rsidR="006F28D7">
        <w:rPr>
          <w:rFonts w:ascii="Times New Roman" w:hAnsi="Times New Roman" w:cs="Times New Roman"/>
          <w:sz w:val="24"/>
          <w:szCs w:val="24"/>
        </w:rPr>
        <w:t>či obecných dějin Polska</w:t>
      </w:r>
      <w:r w:rsidR="00AC3912">
        <w:rPr>
          <w:rFonts w:ascii="Times New Roman" w:hAnsi="Times New Roman" w:cs="Times New Roman"/>
          <w:sz w:val="24"/>
          <w:szCs w:val="24"/>
        </w:rPr>
        <w:t>,</w:t>
      </w:r>
      <w:r w:rsidR="006F28D7">
        <w:rPr>
          <w:rFonts w:ascii="Times New Roman" w:hAnsi="Times New Roman" w:cs="Times New Roman"/>
          <w:sz w:val="24"/>
          <w:szCs w:val="24"/>
        </w:rPr>
        <w:t xml:space="preserve"> je v textu více (sovětsko-jugoslávská roztržka, s. 85; </w:t>
      </w:r>
      <w:r w:rsidR="00AC3912">
        <w:rPr>
          <w:rFonts w:ascii="Times New Roman" w:hAnsi="Times New Roman" w:cs="Times New Roman"/>
          <w:sz w:val="24"/>
          <w:szCs w:val="24"/>
        </w:rPr>
        <w:t xml:space="preserve">vznik státu Izrael, s. 81-83; </w:t>
      </w:r>
      <w:r w:rsidR="006F28D7">
        <w:rPr>
          <w:rFonts w:ascii="Times New Roman" w:hAnsi="Times New Roman" w:cs="Times New Roman"/>
          <w:sz w:val="24"/>
          <w:szCs w:val="24"/>
        </w:rPr>
        <w:t xml:space="preserve">katolická církev v Polsku po 2. </w:t>
      </w:r>
      <w:r w:rsidR="00AC3912">
        <w:rPr>
          <w:rFonts w:ascii="Times New Roman" w:hAnsi="Times New Roman" w:cs="Times New Roman"/>
          <w:sz w:val="24"/>
          <w:szCs w:val="24"/>
        </w:rPr>
        <w:t>s</w:t>
      </w:r>
      <w:r w:rsidR="006F28D7">
        <w:rPr>
          <w:rFonts w:ascii="Times New Roman" w:hAnsi="Times New Roman" w:cs="Times New Roman"/>
          <w:sz w:val="24"/>
          <w:szCs w:val="24"/>
        </w:rPr>
        <w:t>větové válce, s. 89-91; protisovětská a protikomunistická vystoupení v Polsku roku 1956, s. 91-94). Je to na úkor důkladné analýzy toho, co mělo být hlavní osou diplomové práce, tedy projevů antisemitismu po druhé světové válce.</w:t>
      </w:r>
      <w:r w:rsidR="009B3BE0">
        <w:rPr>
          <w:rFonts w:ascii="Times New Roman" w:hAnsi="Times New Roman" w:cs="Times New Roman"/>
          <w:sz w:val="24"/>
          <w:szCs w:val="24"/>
        </w:rPr>
        <w:t xml:space="preserve"> Ve srovnání s mnoha ostatními dílčími tématy, protižidovským pogromům v roce 1946 nebo anti-sionistické kampani v roce 1968 je věnováno nepoměrně méně prostoru.</w:t>
      </w:r>
    </w:p>
    <w:p w:rsidR="006F28D7" w:rsidRDefault="006F28D7" w:rsidP="009B3B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Časté odklony od tématu nepochybně souvisí s použitými prameny a literaturou. Autor </w:t>
      </w:r>
      <w:r w:rsidR="00AC3912">
        <w:rPr>
          <w:rFonts w:ascii="Times New Roman" w:hAnsi="Times New Roman" w:cs="Times New Roman"/>
          <w:sz w:val="24"/>
          <w:szCs w:val="24"/>
        </w:rPr>
        <w:t>pouze</w:t>
      </w:r>
      <w:r>
        <w:rPr>
          <w:rFonts w:ascii="Times New Roman" w:hAnsi="Times New Roman" w:cs="Times New Roman"/>
          <w:sz w:val="24"/>
          <w:szCs w:val="24"/>
        </w:rPr>
        <w:t xml:space="preserve"> výjimečně pracoval s primárními prameny</w:t>
      </w:r>
      <w:r w:rsidR="00AC3912">
        <w:rPr>
          <w:rFonts w:ascii="Times New Roman" w:hAnsi="Times New Roman" w:cs="Times New Roman"/>
          <w:sz w:val="24"/>
          <w:szCs w:val="24"/>
        </w:rPr>
        <w:t xml:space="preserve"> (edice dokumentů k protižidovským pogromům, např. v Kielcích roku 1946)</w:t>
      </w:r>
      <w:r>
        <w:rPr>
          <w:rFonts w:ascii="Times New Roman" w:hAnsi="Times New Roman" w:cs="Times New Roman"/>
          <w:sz w:val="24"/>
          <w:szCs w:val="24"/>
        </w:rPr>
        <w:t>. Většinou se opírá o sekundární literaturu</w:t>
      </w:r>
      <w:r w:rsidR="00AC3912">
        <w:rPr>
          <w:rFonts w:ascii="Times New Roman" w:hAnsi="Times New Roman" w:cs="Times New Roman"/>
          <w:sz w:val="24"/>
          <w:szCs w:val="24"/>
        </w:rPr>
        <w:t xml:space="preserve">, přičemž výběr </w:t>
      </w:r>
      <w:r>
        <w:rPr>
          <w:rFonts w:ascii="Times New Roman" w:hAnsi="Times New Roman" w:cs="Times New Roman"/>
          <w:sz w:val="24"/>
          <w:szCs w:val="24"/>
        </w:rPr>
        <w:t xml:space="preserve">literatury k dějinám Polska je v zásadě dobrý, nechybí ani hlavní práce o polském antisemitismu, </w:t>
      </w:r>
      <w:r w:rsidR="00AC391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edostatečná však byla práce s dobovým tiskem</w:t>
      </w:r>
      <w:r w:rsidR="00AC3912">
        <w:rPr>
          <w:rFonts w:ascii="Times New Roman" w:hAnsi="Times New Roman" w:cs="Times New Roman"/>
          <w:sz w:val="24"/>
          <w:szCs w:val="24"/>
        </w:rPr>
        <w:t xml:space="preserve">, který od počátku zadání práce měl být jedním ze stěžejních pramenů (zcela chybí </w:t>
      </w:r>
      <w:r w:rsidR="001A2DAF">
        <w:rPr>
          <w:rFonts w:ascii="Times New Roman" w:hAnsi="Times New Roman" w:cs="Times New Roman"/>
          <w:sz w:val="24"/>
          <w:szCs w:val="24"/>
        </w:rPr>
        <w:t>dva nejmasovější deníky</w:t>
      </w:r>
      <w:r w:rsidR="001A2DA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C3912">
        <w:rPr>
          <w:rFonts w:ascii="Times New Roman" w:hAnsi="Times New Roman" w:cs="Times New Roman"/>
          <w:i/>
          <w:sz w:val="24"/>
          <w:szCs w:val="24"/>
        </w:rPr>
        <w:t>Trybuna</w:t>
      </w:r>
      <w:proofErr w:type="spellEnd"/>
      <w:r w:rsidR="00AC391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C3912">
        <w:rPr>
          <w:rFonts w:ascii="Times New Roman" w:hAnsi="Times New Roman" w:cs="Times New Roman"/>
          <w:i/>
          <w:sz w:val="24"/>
          <w:szCs w:val="24"/>
        </w:rPr>
        <w:t>Ludu</w:t>
      </w:r>
      <w:proofErr w:type="spellEnd"/>
      <w:r w:rsidR="00AC391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C3912">
        <w:rPr>
          <w:rFonts w:ascii="Times New Roman" w:hAnsi="Times New Roman" w:cs="Times New Roman"/>
          <w:sz w:val="24"/>
          <w:szCs w:val="24"/>
        </w:rPr>
        <w:t>a</w:t>
      </w:r>
      <w:r w:rsidR="00AC391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C3912">
        <w:rPr>
          <w:rFonts w:ascii="Times New Roman" w:hAnsi="Times New Roman" w:cs="Times New Roman"/>
          <w:i/>
          <w:sz w:val="24"/>
          <w:szCs w:val="24"/>
        </w:rPr>
        <w:t>Trybuna</w:t>
      </w:r>
      <w:proofErr w:type="spellEnd"/>
      <w:r w:rsidR="00AC391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C3912">
        <w:rPr>
          <w:rFonts w:ascii="Times New Roman" w:hAnsi="Times New Roman" w:cs="Times New Roman"/>
          <w:i/>
          <w:sz w:val="24"/>
          <w:szCs w:val="24"/>
        </w:rPr>
        <w:t>Robotnicza</w:t>
      </w:r>
      <w:proofErr w:type="spellEnd"/>
      <w:r w:rsidR="00AC3912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AC3912">
        <w:rPr>
          <w:rFonts w:ascii="Times New Roman" w:hAnsi="Times New Roman" w:cs="Times New Roman"/>
          <w:sz w:val="24"/>
          <w:szCs w:val="24"/>
        </w:rPr>
        <w:t xml:space="preserve">nebo </w:t>
      </w:r>
      <w:proofErr w:type="spellStart"/>
      <w:r w:rsidR="00AC3912">
        <w:rPr>
          <w:rFonts w:ascii="Times New Roman" w:hAnsi="Times New Roman" w:cs="Times New Roman"/>
          <w:i/>
          <w:sz w:val="24"/>
          <w:szCs w:val="24"/>
        </w:rPr>
        <w:t>Tygodnik</w:t>
      </w:r>
      <w:proofErr w:type="spellEnd"/>
      <w:r w:rsidR="00AC391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C3912">
        <w:rPr>
          <w:rFonts w:ascii="Times New Roman" w:hAnsi="Times New Roman" w:cs="Times New Roman"/>
          <w:i/>
          <w:sz w:val="24"/>
          <w:szCs w:val="24"/>
        </w:rPr>
        <w:t>Powszechny</w:t>
      </w:r>
      <w:proofErr w:type="spellEnd"/>
      <w:r w:rsidR="00AC3912">
        <w:rPr>
          <w:rFonts w:ascii="Times New Roman" w:hAnsi="Times New Roman" w:cs="Times New Roman"/>
          <w:sz w:val="24"/>
          <w:szCs w:val="24"/>
        </w:rPr>
        <w:t xml:space="preserve">, reprezentující oficiální stanoviska katolické církve, a </w:t>
      </w:r>
      <w:proofErr w:type="spellStart"/>
      <w:r w:rsidR="00AC3912">
        <w:rPr>
          <w:rFonts w:ascii="Times New Roman" w:hAnsi="Times New Roman" w:cs="Times New Roman"/>
          <w:i/>
          <w:sz w:val="24"/>
          <w:szCs w:val="24"/>
        </w:rPr>
        <w:t>Słowo</w:t>
      </w:r>
      <w:proofErr w:type="spellEnd"/>
      <w:r w:rsidR="00AC391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C3912">
        <w:rPr>
          <w:rFonts w:ascii="Times New Roman" w:hAnsi="Times New Roman" w:cs="Times New Roman"/>
          <w:i/>
          <w:sz w:val="24"/>
          <w:szCs w:val="24"/>
        </w:rPr>
        <w:t>Powszechne</w:t>
      </w:r>
      <w:proofErr w:type="spellEnd"/>
      <w:r w:rsidR="00AC3912">
        <w:rPr>
          <w:rFonts w:ascii="Times New Roman" w:hAnsi="Times New Roman" w:cs="Times New Roman"/>
          <w:i/>
          <w:sz w:val="24"/>
          <w:szCs w:val="24"/>
        </w:rPr>
        <w:t>,</w:t>
      </w:r>
      <w:r w:rsidR="00AC3912">
        <w:rPr>
          <w:rFonts w:ascii="Times New Roman" w:hAnsi="Times New Roman" w:cs="Times New Roman"/>
          <w:sz w:val="24"/>
          <w:szCs w:val="24"/>
        </w:rPr>
        <w:t xml:space="preserve"> vydávané režimním katolickým hnutím PAX, které fakticky začalo tiskovou anti</w:t>
      </w:r>
      <w:r w:rsidR="009B3BE0">
        <w:rPr>
          <w:rFonts w:ascii="Times New Roman" w:hAnsi="Times New Roman" w:cs="Times New Roman"/>
          <w:sz w:val="24"/>
          <w:szCs w:val="24"/>
        </w:rPr>
        <w:t>-</w:t>
      </w:r>
      <w:r w:rsidR="00AC3912">
        <w:rPr>
          <w:rFonts w:ascii="Times New Roman" w:hAnsi="Times New Roman" w:cs="Times New Roman"/>
          <w:sz w:val="24"/>
          <w:szCs w:val="24"/>
        </w:rPr>
        <w:t>sionistickou kampaň v roce 1968).</w:t>
      </w:r>
      <w:r w:rsidR="00300A44">
        <w:rPr>
          <w:rFonts w:ascii="Times New Roman" w:hAnsi="Times New Roman" w:cs="Times New Roman"/>
          <w:sz w:val="24"/>
          <w:szCs w:val="24"/>
        </w:rPr>
        <w:t xml:space="preserve"> Jelikož tedy autor nenačerpal faktografii z pramenů, naplňuje text odbočkami k jiným, vedlejším tématům, přičemž se opírá o sekundární literaturu.</w:t>
      </w:r>
    </w:p>
    <w:p w:rsidR="00300A44" w:rsidRDefault="00300A44" w:rsidP="009B3B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 stylistické a jazykové stránce hodnotím práci jako zcela průměrnou. Text byl zjevně dokončován ve spěchu, což si vybral</w:t>
      </w:r>
      <w:r w:rsidR="00781AA3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daň </w:t>
      </w:r>
      <w:r w:rsidR="00781AA3">
        <w:rPr>
          <w:rFonts w:ascii="Times New Roman" w:hAnsi="Times New Roman" w:cs="Times New Roman"/>
          <w:sz w:val="24"/>
          <w:szCs w:val="24"/>
        </w:rPr>
        <w:t xml:space="preserve">v podobě </w:t>
      </w:r>
      <w:r>
        <w:rPr>
          <w:rFonts w:ascii="Times New Roman" w:hAnsi="Times New Roman" w:cs="Times New Roman"/>
          <w:sz w:val="24"/>
          <w:szCs w:val="24"/>
        </w:rPr>
        <w:t>mal</w:t>
      </w:r>
      <w:r w:rsidR="00781AA3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provázanost</w:t>
      </w:r>
      <w:r w:rsidR="00781AA3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některých kapitol</w:t>
      </w:r>
      <w:r w:rsidR="00781AA3">
        <w:rPr>
          <w:rFonts w:ascii="Times New Roman" w:hAnsi="Times New Roman" w:cs="Times New Roman"/>
          <w:sz w:val="24"/>
          <w:szCs w:val="24"/>
        </w:rPr>
        <w:t xml:space="preserve"> a podkapitol (např. kapitoly 3.3, 3.4, či návaznost kapitoly o vzniku Izraele s dalším textem)</w:t>
      </w:r>
      <w:r>
        <w:rPr>
          <w:rFonts w:ascii="Times New Roman" w:hAnsi="Times New Roman" w:cs="Times New Roman"/>
          <w:sz w:val="24"/>
          <w:szCs w:val="24"/>
        </w:rPr>
        <w:t>, chyb v interpunkci,</w:t>
      </w:r>
      <w:r w:rsidR="00DB7A35">
        <w:rPr>
          <w:rFonts w:ascii="Times New Roman" w:hAnsi="Times New Roman" w:cs="Times New Roman"/>
          <w:sz w:val="24"/>
          <w:szCs w:val="24"/>
        </w:rPr>
        <w:t xml:space="preserve"> nesrovnalostí v literatuře citované v bibliografii a poznámkách pod čarou (Grossova práce </w:t>
      </w:r>
      <w:r w:rsidR="00DB7A35">
        <w:rPr>
          <w:rFonts w:ascii="Times New Roman" w:hAnsi="Times New Roman" w:cs="Times New Roman"/>
          <w:i/>
          <w:sz w:val="24"/>
          <w:szCs w:val="24"/>
        </w:rPr>
        <w:t>Strach</w:t>
      </w:r>
      <w:r w:rsidR="00DB7A35">
        <w:rPr>
          <w:rFonts w:ascii="Times New Roman" w:hAnsi="Times New Roman" w:cs="Times New Roman"/>
          <w:sz w:val="24"/>
          <w:szCs w:val="24"/>
        </w:rPr>
        <w:t xml:space="preserve"> je někdy citována anglicky, někdy česky, v bibliografii je uvedeno české vydání). </w:t>
      </w:r>
      <w:proofErr w:type="gramStart"/>
      <w:r>
        <w:rPr>
          <w:rFonts w:ascii="Times New Roman" w:hAnsi="Times New Roman" w:cs="Times New Roman"/>
          <w:sz w:val="24"/>
          <w:szCs w:val="24"/>
        </w:rPr>
        <w:t>Autor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často sklouzává k příliš emotivnímu projevu, odpovídajícímu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více publicistice, než odborné práci. Tato tendence ovšem souvisí i s použitou literaturou, neboť např. knihy Jana T. Grosse jsou v mnoha směrech velmi emotivní, a podobně jako kontroverzní kniha Daniela J. </w:t>
      </w:r>
      <w:proofErr w:type="spellStart"/>
      <w:r>
        <w:rPr>
          <w:rFonts w:ascii="Times New Roman" w:hAnsi="Times New Roman" w:cs="Times New Roman"/>
          <w:sz w:val="24"/>
          <w:szCs w:val="24"/>
        </w:rPr>
        <w:t>Gol</w:t>
      </w:r>
      <w:r w:rsidR="001A2DAF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hagena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Hitlerovi ochotní katani,</w:t>
      </w:r>
      <w:r>
        <w:rPr>
          <w:rFonts w:ascii="Times New Roman" w:hAnsi="Times New Roman" w:cs="Times New Roman"/>
          <w:sz w:val="24"/>
          <w:szCs w:val="24"/>
        </w:rPr>
        <w:t xml:space="preserve"> přináší jednostranné a paušalizující </w:t>
      </w:r>
      <w:r w:rsidR="009B3BE0">
        <w:rPr>
          <w:rFonts w:ascii="Times New Roman" w:hAnsi="Times New Roman" w:cs="Times New Roman"/>
          <w:sz w:val="24"/>
          <w:szCs w:val="24"/>
        </w:rPr>
        <w:t xml:space="preserve">pohledy. Autor </w:t>
      </w:r>
      <w:r>
        <w:rPr>
          <w:rFonts w:ascii="Times New Roman" w:hAnsi="Times New Roman" w:cs="Times New Roman"/>
          <w:sz w:val="24"/>
          <w:szCs w:val="24"/>
        </w:rPr>
        <w:t>je mnohd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y nekriticky přebírá spolu s emotivní rétorikou: </w:t>
      </w:r>
      <w:r w:rsidRPr="009B3BE0">
        <w:rPr>
          <w:rFonts w:ascii="Times New Roman" w:hAnsi="Times New Roman" w:cs="Times New Roman"/>
          <w:i/>
          <w:sz w:val="24"/>
          <w:szCs w:val="24"/>
        </w:rPr>
        <w:t>„Tohle Poláci rádi přijali…“</w:t>
      </w:r>
      <w:r>
        <w:rPr>
          <w:rFonts w:ascii="Times New Roman" w:hAnsi="Times New Roman" w:cs="Times New Roman"/>
          <w:sz w:val="24"/>
          <w:szCs w:val="24"/>
        </w:rPr>
        <w:t xml:space="preserve"> (s. 61); </w:t>
      </w:r>
      <w:r w:rsidRPr="009B3BE0">
        <w:rPr>
          <w:rFonts w:ascii="Times New Roman" w:hAnsi="Times New Roman" w:cs="Times New Roman"/>
          <w:i/>
          <w:sz w:val="24"/>
          <w:szCs w:val="24"/>
        </w:rPr>
        <w:t>„Poláci si velmi rádi přilepšili</w:t>
      </w:r>
      <w:r w:rsidR="009B3BE0" w:rsidRPr="009B3BE0">
        <w:rPr>
          <w:rFonts w:ascii="Times New Roman" w:hAnsi="Times New Roman" w:cs="Times New Roman"/>
          <w:i/>
          <w:sz w:val="24"/>
          <w:szCs w:val="24"/>
        </w:rPr>
        <w:t>. Rádi si přivlastňovali židovský majetek či se stěhovali do židovských domů a bytů“</w:t>
      </w:r>
      <w:r w:rsidR="009B3BE0">
        <w:rPr>
          <w:rFonts w:ascii="Times New Roman" w:hAnsi="Times New Roman" w:cs="Times New Roman"/>
          <w:sz w:val="24"/>
          <w:szCs w:val="24"/>
        </w:rPr>
        <w:t xml:space="preserve"> (s. 62). </w:t>
      </w:r>
      <w:r>
        <w:rPr>
          <w:rFonts w:ascii="Times New Roman" w:hAnsi="Times New Roman" w:cs="Times New Roman"/>
          <w:sz w:val="24"/>
          <w:szCs w:val="24"/>
        </w:rPr>
        <w:t>Je jistě ke škodě věci, že se S. Jukl nepokusil</w:t>
      </w:r>
      <w:r w:rsidR="009B3B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 úvodu či jinde v diplomové práci kriticky vypořádat s Grossovými </w:t>
      </w:r>
      <w:r w:rsidR="009B3BE0">
        <w:rPr>
          <w:rFonts w:ascii="Times New Roman" w:hAnsi="Times New Roman" w:cs="Times New Roman"/>
          <w:sz w:val="24"/>
          <w:szCs w:val="24"/>
        </w:rPr>
        <w:t>publikacemi, respektive více neanalyzoval pramennou základnu.</w:t>
      </w:r>
    </w:p>
    <w:p w:rsidR="009B3BE0" w:rsidRDefault="009B3BE0" w:rsidP="009B3BE0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Předložená diplomová práce jistě má informační hodnotu. Autor v ní zpracoval téma v českém prostředí nepříliš známé. Nešel ovšem do hloubky, řada jeho postřehů je příliš povrchní. Málo pracoval s primárními prameny a v zásadě se omezil na sekundární literaturu, s níž pracoval značně nekriticky. Souhrnně vzato hodnotím diplomovou práci jako značně průměrnou, </w:t>
      </w:r>
      <w:r w:rsidRPr="009B3BE0">
        <w:rPr>
          <w:rFonts w:ascii="Times New Roman" w:hAnsi="Times New Roman" w:cs="Times New Roman"/>
          <w:b/>
          <w:sz w:val="24"/>
          <w:szCs w:val="24"/>
        </w:rPr>
        <w:t xml:space="preserve">doporučuji ji k obhajobě </w:t>
      </w:r>
      <w:r>
        <w:rPr>
          <w:rFonts w:ascii="Times New Roman" w:hAnsi="Times New Roman" w:cs="Times New Roman"/>
          <w:sz w:val="24"/>
          <w:szCs w:val="24"/>
        </w:rPr>
        <w:t xml:space="preserve">a navrhuji klasifikovat známkou </w:t>
      </w:r>
      <w:r w:rsidRPr="009B3BE0">
        <w:rPr>
          <w:rFonts w:ascii="Times New Roman" w:hAnsi="Times New Roman" w:cs="Times New Roman"/>
          <w:b/>
          <w:i/>
          <w:sz w:val="24"/>
          <w:szCs w:val="24"/>
        </w:rPr>
        <w:t>dobře.</w:t>
      </w:r>
    </w:p>
    <w:p w:rsidR="009B3BE0" w:rsidRDefault="009B3BE0" w:rsidP="009B3BE0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9B3BE0" w:rsidRDefault="009B3BE0" w:rsidP="009B3BE0">
      <w:pPr>
        <w:spacing w:after="0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B3BE0" w:rsidRDefault="009B3BE0" w:rsidP="009B3BE0">
      <w:pPr>
        <w:spacing w:after="0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B3BE0" w:rsidRPr="009B3BE0" w:rsidRDefault="009B3BE0" w:rsidP="009B3BE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9B3BE0">
        <w:rPr>
          <w:rFonts w:ascii="Times New Roman" w:hAnsi="Times New Roman" w:cs="Times New Roman"/>
          <w:sz w:val="24"/>
          <w:szCs w:val="24"/>
        </w:rPr>
        <w:t xml:space="preserve">Mgr. Zbyněk </w:t>
      </w:r>
      <w:proofErr w:type="gramStart"/>
      <w:r w:rsidRPr="009B3BE0">
        <w:rPr>
          <w:rFonts w:ascii="Times New Roman" w:hAnsi="Times New Roman" w:cs="Times New Roman"/>
          <w:sz w:val="24"/>
          <w:szCs w:val="24"/>
        </w:rPr>
        <w:t>Vydra,  Ph.</w:t>
      </w:r>
      <w:proofErr w:type="gramEnd"/>
      <w:r w:rsidRPr="009B3BE0">
        <w:rPr>
          <w:rFonts w:ascii="Times New Roman" w:hAnsi="Times New Roman" w:cs="Times New Roman"/>
          <w:sz w:val="24"/>
          <w:szCs w:val="24"/>
        </w:rPr>
        <w:t>D.</w:t>
      </w:r>
    </w:p>
    <w:p w:rsidR="009B3BE0" w:rsidRPr="009B3BE0" w:rsidRDefault="009B3BE0" w:rsidP="009B3BE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9B3BE0">
        <w:rPr>
          <w:rFonts w:ascii="Times New Roman" w:hAnsi="Times New Roman" w:cs="Times New Roman"/>
          <w:sz w:val="24"/>
          <w:szCs w:val="24"/>
        </w:rPr>
        <w:t>Pardubice, 18. 1. 2016</w:t>
      </w:r>
    </w:p>
    <w:sectPr w:rsidR="009B3BE0" w:rsidRPr="009B3B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EC9"/>
    <w:rsid w:val="001A2DAF"/>
    <w:rsid w:val="00300A44"/>
    <w:rsid w:val="003C5744"/>
    <w:rsid w:val="005556A6"/>
    <w:rsid w:val="006F28D7"/>
    <w:rsid w:val="00781AA3"/>
    <w:rsid w:val="008F688A"/>
    <w:rsid w:val="009B3BE0"/>
    <w:rsid w:val="00AC3912"/>
    <w:rsid w:val="00C02D88"/>
    <w:rsid w:val="00C91EC9"/>
    <w:rsid w:val="00DB7A35"/>
    <w:rsid w:val="00F63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656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8</cp:revision>
  <cp:lastPrinted>2016-01-18T12:18:00Z</cp:lastPrinted>
  <dcterms:created xsi:type="dcterms:W3CDTF">2016-01-18T10:30:00Z</dcterms:created>
  <dcterms:modified xsi:type="dcterms:W3CDTF">2016-01-18T12:24:00Z</dcterms:modified>
</cp:coreProperties>
</file>