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8E5EB7" w14:textId="77777777" w:rsidR="00EF066E" w:rsidRPr="00F95662" w:rsidRDefault="00EF066E" w:rsidP="007B13C2">
      <w:pPr>
        <w:jc w:val="center"/>
        <w:rPr>
          <w:sz w:val="28"/>
          <w:szCs w:val="28"/>
          <w:lang w:val="de-DE"/>
        </w:rPr>
      </w:pPr>
      <w:r w:rsidRPr="00F95662">
        <w:rPr>
          <w:sz w:val="28"/>
          <w:szCs w:val="28"/>
          <w:lang w:val="de-DE"/>
        </w:rPr>
        <w:t>Gutachten</w:t>
      </w:r>
    </w:p>
    <w:p w14:paraId="7CD47C47" w14:textId="66676A9D" w:rsidR="00EF066E" w:rsidRPr="00F95662" w:rsidRDefault="00EF066E" w:rsidP="00EF066E">
      <w:pPr>
        <w:jc w:val="center"/>
        <w:rPr>
          <w:sz w:val="28"/>
          <w:szCs w:val="28"/>
          <w:lang w:val="de-DE"/>
        </w:rPr>
      </w:pPr>
      <w:r w:rsidRPr="00F95662">
        <w:rPr>
          <w:sz w:val="28"/>
          <w:szCs w:val="28"/>
          <w:lang w:val="de-DE"/>
        </w:rPr>
        <w:t xml:space="preserve">Abschlussarbeit </w:t>
      </w:r>
      <w:r w:rsidR="00961F61">
        <w:rPr>
          <w:sz w:val="28"/>
          <w:szCs w:val="28"/>
          <w:lang w:val="de-DE"/>
        </w:rPr>
        <w:t>August</w:t>
      </w:r>
      <w:r w:rsidRPr="00F95662">
        <w:rPr>
          <w:sz w:val="28"/>
          <w:szCs w:val="28"/>
          <w:lang w:val="de-DE"/>
        </w:rPr>
        <w:t xml:space="preserve"> 20</w:t>
      </w:r>
      <w:r w:rsidR="00AB718F" w:rsidRPr="00F95662">
        <w:rPr>
          <w:sz w:val="28"/>
          <w:szCs w:val="28"/>
          <w:lang w:val="de-DE"/>
        </w:rPr>
        <w:t>21</w:t>
      </w:r>
    </w:p>
    <w:p w14:paraId="585A3E0B" w14:textId="77777777" w:rsidR="00EF066E" w:rsidRPr="00F95662" w:rsidRDefault="00EF066E" w:rsidP="00EF066E">
      <w:pPr>
        <w:jc w:val="both"/>
        <w:rPr>
          <w:lang w:val="de-DE"/>
        </w:rPr>
      </w:pPr>
    </w:p>
    <w:p w14:paraId="190B0457" w14:textId="77777777" w:rsidR="00EF066E" w:rsidRPr="00F95662" w:rsidRDefault="00EF066E" w:rsidP="00EF066E">
      <w:pPr>
        <w:jc w:val="both"/>
        <w:rPr>
          <w:lang w:val="de-DE"/>
        </w:rPr>
      </w:pPr>
    </w:p>
    <w:p w14:paraId="56B23700" w14:textId="4AE12183" w:rsidR="00EF066E" w:rsidRPr="00F95662" w:rsidRDefault="00EF066E" w:rsidP="00EF066E">
      <w:pPr>
        <w:jc w:val="both"/>
        <w:rPr>
          <w:lang w:val="de-DE"/>
        </w:rPr>
      </w:pPr>
      <w:r w:rsidRPr="00F95662">
        <w:rPr>
          <w:lang w:val="de-DE"/>
        </w:rPr>
        <w:t xml:space="preserve">Name: </w:t>
      </w:r>
      <w:r w:rsidR="006979B1" w:rsidRPr="006979B1">
        <w:rPr>
          <w:lang w:val="de-DE"/>
        </w:rPr>
        <w:t>Pirklová</w:t>
      </w:r>
      <w:r w:rsidRPr="00F95662">
        <w:rPr>
          <w:lang w:val="de-DE"/>
        </w:rPr>
        <w:t xml:space="preserve">, </w:t>
      </w:r>
      <w:r w:rsidR="006979B1">
        <w:rPr>
          <w:lang w:val="de-DE"/>
        </w:rPr>
        <w:t>Aneta</w:t>
      </w:r>
    </w:p>
    <w:p w14:paraId="32DC5908" w14:textId="2EED2B45" w:rsidR="00EF066E" w:rsidRPr="00F95662" w:rsidRDefault="00EF066E" w:rsidP="00EF066E">
      <w:pPr>
        <w:jc w:val="both"/>
        <w:rPr>
          <w:lang w:val="de-DE"/>
        </w:rPr>
      </w:pPr>
      <w:r w:rsidRPr="00F95662">
        <w:rPr>
          <w:lang w:val="de-DE"/>
        </w:rPr>
        <w:t xml:space="preserve">Thema: </w:t>
      </w:r>
      <w:r w:rsidR="006979B1">
        <w:rPr>
          <w:lang w:val="de-DE"/>
        </w:rPr>
        <w:t>Das Jahr 1968 in Deutschland und in der Tschechoslowakei</w:t>
      </w:r>
      <w:r w:rsidRPr="00F95662">
        <w:rPr>
          <w:lang w:val="de-DE"/>
        </w:rPr>
        <w:t xml:space="preserve"> </w:t>
      </w:r>
    </w:p>
    <w:p w14:paraId="4A5049FE" w14:textId="77777777" w:rsidR="00EF066E" w:rsidRPr="00F95662" w:rsidRDefault="00EF066E" w:rsidP="00EF066E">
      <w:pPr>
        <w:jc w:val="both"/>
        <w:rPr>
          <w:lang w:val="de-DE"/>
        </w:rPr>
      </w:pPr>
    </w:p>
    <w:p w14:paraId="0533770F" w14:textId="77777777" w:rsidR="00EF066E" w:rsidRPr="00F95662" w:rsidRDefault="00EF066E" w:rsidP="00EF066E">
      <w:pPr>
        <w:jc w:val="both"/>
        <w:rPr>
          <w:lang w:val="de-DE"/>
        </w:rPr>
      </w:pPr>
    </w:p>
    <w:p w14:paraId="5A627F96" w14:textId="77777777" w:rsidR="00463647" w:rsidRDefault="00EF066E" w:rsidP="00EF066E">
      <w:pPr>
        <w:jc w:val="both"/>
        <w:rPr>
          <w:lang w:val="de-DE"/>
        </w:rPr>
      </w:pPr>
      <w:r w:rsidRPr="00F95662">
        <w:rPr>
          <w:lang w:val="de-DE"/>
        </w:rPr>
        <w:t>Die Abschlussarbeit</w:t>
      </w:r>
      <w:r w:rsidR="00D208CF" w:rsidRPr="00F95662">
        <w:rPr>
          <w:lang w:val="de-DE"/>
        </w:rPr>
        <w:t xml:space="preserve"> gibt einen Überblick über</w:t>
      </w:r>
      <w:r w:rsidRPr="00F95662">
        <w:rPr>
          <w:lang w:val="de-DE"/>
        </w:rPr>
        <w:t xml:space="preserve"> die </w:t>
      </w:r>
      <w:r w:rsidR="006979B1">
        <w:rPr>
          <w:lang w:val="de-DE"/>
        </w:rPr>
        <w:t>historischen Ereignisse in der Tschechischen Sozialistischen Republik (ČSSR) und in Westdeutschland (BRD), die mit dem Jahr 1968 verbunden sind.</w:t>
      </w:r>
      <w:r w:rsidR="00D208CF" w:rsidRPr="00F95662">
        <w:rPr>
          <w:lang w:val="de-DE"/>
        </w:rPr>
        <w:t xml:space="preserve"> </w:t>
      </w:r>
    </w:p>
    <w:p w14:paraId="2729366A" w14:textId="77777777" w:rsidR="00463647" w:rsidRDefault="00463647" w:rsidP="00EF066E">
      <w:pPr>
        <w:jc w:val="both"/>
        <w:rPr>
          <w:lang w:val="de-DE"/>
        </w:rPr>
      </w:pPr>
    </w:p>
    <w:p w14:paraId="06B50CB6" w14:textId="3F81A96C" w:rsidR="00D208CF" w:rsidRDefault="00463647" w:rsidP="00EF066E">
      <w:pPr>
        <w:jc w:val="both"/>
        <w:rPr>
          <w:lang w:val="de-DE"/>
        </w:rPr>
      </w:pPr>
      <w:r>
        <w:rPr>
          <w:lang w:val="de-DE"/>
        </w:rPr>
        <w:t xml:space="preserve">Bereits in der Einleitung weist die Autorin darauf hin, dass sich der Text des zweiten Kapitels mit den Ereignissen in </w:t>
      </w:r>
      <w:r w:rsidRPr="00463647">
        <w:rPr>
          <w:u w:val="single"/>
          <w:lang w:val="de-DE"/>
        </w:rPr>
        <w:t>West</w:t>
      </w:r>
      <w:r>
        <w:rPr>
          <w:lang w:val="de-DE"/>
        </w:rPr>
        <w:t>deutschland beschäftigt.</w:t>
      </w:r>
    </w:p>
    <w:p w14:paraId="5DA0743F" w14:textId="6F987CBC" w:rsidR="006979B1" w:rsidRDefault="006979B1" w:rsidP="00EF066E">
      <w:pPr>
        <w:jc w:val="both"/>
        <w:rPr>
          <w:lang w:val="de-DE"/>
        </w:rPr>
      </w:pPr>
    </w:p>
    <w:p w14:paraId="47F62F0F" w14:textId="2871E845" w:rsidR="006979B1" w:rsidRDefault="006979B1" w:rsidP="00EF066E">
      <w:pPr>
        <w:jc w:val="both"/>
        <w:rPr>
          <w:lang w:val="de-DE"/>
        </w:rPr>
      </w:pPr>
      <w:r>
        <w:rPr>
          <w:lang w:val="de-DE"/>
        </w:rPr>
        <w:t xml:space="preserve">Die Arbeit ist in vier Kapitel geteilt. Das erste Kapitel führt dem Leser/der Leserin in chronologischer Abfolge die Ereignisse vor Augen, die dem Prager Frühling </w:t>
      </w:r>
      <w:r w:rsidRPr="00463647">
        <w:rPr>
          <w:lang w:val="de-DE"/>
        </w:rPr>
        <w:t>vorausgingen</w:t>
      </w:r>
      <w:r w:rsidR="00E664D7" w:rsidRPr="00463647">
        <w:rPr>
          <w:lang w:val="de-DE"/>
        </w:rPr>
        <w:t xml:space="preserve"> </w:t>
      </w:r>
      <w:r w:rsidR="00E664D7">
        <w:rPr>
          <w:lang w:val="de-DE"/>
        </w:rPr>
        <w:t>und</w:t>
      </w:r>
      <w:r>
        <w:rPr>
          <w:lang w:val="de-DE"/>
        </w:rPr>
        <w:t xml:space="preserve"> die den eigentlichen Verlauf des Prager Frühlings bestimmten</w:t>
      </w:r>
      <w:r w:rsidR="00E664D7">
        <w:rPr>
          <w:lang w:val="de-DE"/>
        </w:rPr>
        <w:t>. Das letzte Unterkapitel</w:t>
      </w:r>
      <w:r>
        <w:rPr>
          <w:lang w:val="de-DE"/>
        </w:rPr>
        <w:t xml:space="preserve"> </w:t>
      </w:r>
      <w:r w:rsidR="00E664D7">
        <w:rPr>
          <w:lang w:val="de-DE"/>
        </w:rPr>
        <w:t>geht auf die Folgen ein, die das 1968-er Jahr auf die tschechoslowakische Gesellschaft hatte.</w:t>
      </w:r>
    </w:p>
    <w:p w14:paraId="1965D3D1" w14:textId="727BC68C" w:rsidR="00E664D7" w:rsidRDefault="00E664D7" w:rsidP="00EF066E">
      <w:pPr>
        <w:jc w:val="both"/>
        <w:rPr>
          <w:lang w:val="de-DE"/>
        </w:rPr>
      </w:pPr>
    </w:p>
    <w:p w14:paraId="117CEFF5" w14:textId="7BB60D72" w:rsidR="00E664D7" w:rsidRDefault="00E664D7" w:rsidP="00EF066E">
      <w:pPr>
        <w:jc w:val="both"/>
        <w:rPr>
          <w:lang w:val="de-DE"/>
        </w:rPr>
      </w:pPr>
      <w:r>
        <w:rPr>
          <w:lang w:val="de-DE"/>
        </w:rPr>
        <w:t xml:space="preserve">Kapitel 2 betrachtet das Jahr 1968 in </w:t>
      </w:r>
      <w:r w:rsidRPr="00463647">
        <w:rPr>
          <w:lang w:val="de-DE"/>
        </w:rPr>
        <w:t>Westdeutschland</w:t>
      </w:r>
      <w:r>
        <w:rPr>
          <w:lang w:val="de-DE"/>
        </w:rPr>
        <w:t>, indem es ausführlich die Anfänge, die Höhepunkte, das Ende und die Folgen der Studentenbewegung aufzeichnet.</w:t>
      </w:r>
    </w:p>
    <w:p w14:paraId="122EB5AB" w14:textId="24FC204A" w:rsidR="00E664D7" w:rsidRDefault="00E664D7" w:rsidP="00EF066E">
      <w:pPr>
        <w:jc w:val="both"/>
        <w:rPr>
          <w:lang w:val="de-DE"/>
        </w:rPr>
      </w:pPr>
    </w:p>
    <w:p w14:paraId="776F6F13" w14:textId="1A6AB2A9" w:rsidR="00E664D7" w:rsidRDefault="00463647" w:rsidP="00EF066E">
      <w:pPr>
        <w:jc w:val="both"/>
        <w:rPr>
          <w:lang w:val="de-DE"/>
        </w:rPr>
      </w:pPr>
      <w:r>
        <w:rPr>
          <w:lang w:val="de-DE"/>
        </w:rPr>
        <w:t>Hervorzuheben ist</w:t>
      </w:r>
      <w:r w:rsidR="00E664D7">
        <w:rPr>
          <w:lang w:val="de-DE"/>
        </w:rPr>
        <w:t xml:space="preserve"> das dritte Kapitel, da es </w:t>
      </w:r>
      <w:r>
        <w:rPr>
          <w:lang w:val="de-DE"/>
        </w:rPr>
        <w:t>die Bedeutung dieser Ereignisse vergleicht.</w:t>
      </w:r>
    </w:p>
    <w:p w14:paraId="34FE008C" w14:textId="77777777" w:rsidR="00F17BDA" w:rsidRPr="00F95662" w:rsidRDefault="00F17BDA" w:rsidP="00EF066E">
      <w:pPr>
        <w:jc w:val="both"/>
        <w:rPr>
          <w:lang w:val="de-DE"/>
        </w:rPr>
      </w:pPr>
    </w:p>
    <w:p w14:paraId="1CFBCFAD" w14:textId="77777777" w:rsidR="00C92D5D" w:rsidRDefault="00463647" w:rsidP="00EF066E">
      <w:pPr>
        <w:jc w:val="both"/>
        <w:rPr>
          <w:lang w:val="de-DE"/>
        </w:rPr>
      </w:pPr>
      <w:r>
        <w:rPr>
          <w:lang w:val="de-DE"/>
        </w:rPr>
        <w:t>Auf einige inhaltliche Ungenauigkeiten muss hingewiesen werden</w:t>
      </w:r>
      <w:r w:rsidR="00E04553" w:rsidRPr="00F95662">
        <w:rPr>
          <w:lang w:val="de-DE"/>
        </w:rPr>
        <w:t>, so z.B.</w:t>
      </w:r>
      <w:r>
        <w:rPr>
          <w:lang w:val="de-DE"/>
        </w:rPr>
        <w:t xml:space="preserve"> </w:t>
      </w:r>
      <w:r w:rsidR="001076A5">
        <w:rPr>
          <w:lang w:val="de-DE"/>
        </w:rPr>
        <w:t xml:space="preserve">in der Überschrift des 3. Kapitels: Hier wäre die korrekte Bezeichnung der damaligen Tschechoslowakei </w:t>
      </w:r>
      <w:r w:rsidR="001076A5" w:rsidRPr="00961F61">
        <w:rPr>
          <w:b/>
          <w:bCs/>
          <w:lang w:val="de-DE"/>
        </w:rPr>
        <w:t>ČSSR</w:t>
      </w:r>
      <w:r w:rsidR="001076A5">
        <w:rPr>
          <w:lang w:val="de-DE"/>
        </w:rPr>
        <w:t xml:space="preserve"> (Československá socialistická republika). </w:t>
      </w:r>
    </w:p>
    <w:p w14:paraId="7FB5ADA7" w14:textId="77777777" w:rsidR="00961F61" w:rsidRDefault="001076A5" w:rsidP="00EF066E">
      <w:pPr>
        <w:jc w:val="both"/>
        <w:rPr>
          <w:lang w:val="de-DE"/>
        </w:rPr>
      </w:pPr>
      <w:r>
        <w:rPr>
          <w:lang w:val="de-DE"/>
        </w:rPr>
        <w:t xml:space="preserve">Weitere </w:t>
      </w:r>
      <w:r w:rsidR="00961F61">
        <w:rPr>
          <w:lang w:val="de-DE"/>
        </w:rPr>
        <w:t>Beispiele</w:t>
      </w:r>
      <w:r>
        <w:rPr>
          <w:lang w:val="de-DE"/>
        </w:rPr>
        <w:t xml:space="preserve"> finden sich</w:t>
      </w:r>
      <w:r w:rsidR="00961F61">
        <w:rPr>
          <w:lang w:val="de-DE"/>
        </w:rPr>
        <w:t>:</w:t>
      </w:r>
    </w:p>
    <w:p w14:paraId="5B729B23" w14:textId="77D3CB56" w:rsidR="001076A5" w:rsidRDefault="001076A5" w:rsidP="00EF066E">
      <w:pPr>
        <w:jc w:val="both"/>
        <w:rPr>
          <w:lang w:val="de-DE"/>
        </w:rPr>
      </w:pPr>
      <w:r>
        <w:rPr>
          <w:lang w:val="de-DE"/>
        </w:rPr>
        <w:t>in der Einleitung</w:t>
      </w:r>
      <w:r w:rsidR="00C92D5D">
        <w:rPr>
          <w:lang w:val="de-DE"/>
        </w:rPr>
        <w:t>:</w:t>
      </w:r>
    </w:p>
    <w:p w14:paraId="4B56663C" w14:textId="56B66E72" w:rsidR="00D208CF" w:rsidRDefault="001076A5" w:rsidP="00EF066E">
      <w:pPr>
        <w:jc w:val="both"/>
      </w:pPr>
      <w:r w:rsidRPr="001076A5">
        <w:rPr>
          <w:i/>
          <w:iCs/>
          <w:lang w:val="de-DE"/>
        </w:rPr>
        <w:t xml:space="preserve">…, </w:t>
      </w:r>
      <w:r w:rsidRPr="001076A5">
        <w:rPr>
          <w:i/>
          <w:iCs/>
        </w:rPr>
        <w:t xml:space="preserve">wurde in der Tschechoslowakei versucht, das lokale kommunistische Regime zu reformieren und der anschließende sowjetische Einmarsch in die Tschechoslowakei </w:t>
      </w:r>
      <w:r w:rsidRPr="001076A5">
        <w:rPr>
          <w:i/>
          <w:iCs/>
          <w:highlight w:val="cyan"/>
        </w:rPr>
        <w:t>scheiterte</w:t>
      </w:r>
      <w:r>
        <w:t>.</w:t>
      </w:r>
    </w:p>
    <w:p w14:paraId="2FB7F85C" w14:textId="3B6388B8" w:rsidR="001076A5" w:rsidRDefault="001076A5" w:rsidP="00EF066E">
      <w:pPr>
        <w:jc w:val="both"/>
      </w:pPr>
      <w:r w:rsidRPr="001076A5">
        <w:rPr>
          <w:i/>
          <w:iCs/>
        </w:rPr>
        <w:t xml:space="preserve">…, Rudi Dutschke, und wie er bei der </w:t>
      </w:r>
      <w:r w:rsidRPr="001076A5">
        <w:rPr>
          <w:i/>
          <w:iCs/>
          <w:highlight w:val="cyan"/>
        </w:rPr>
        <w:t>Demonstration</w:t>
      </w:r>
      <w:r w:rsidRPr="001076A5">
        <w:rPr>
          <w:i/>
          <w:iCs/>
        </w:rPr>
        <w:t xml:space="preserve"> beinahe ums Leben kam.</w:t>
      </w:r>
      <w:r w:rsidR="00C92D5D">
        <w:t xml:space="preserve">, </w:t>
      </w:r>
    </w:p>
    <w:p w14:paraId="6803DEB9" w14:textId="77777777" w:rsidR="00C92D5D" w:rsidRDefault="00C92D5D" w:rsidP="00EF066E">
      <w:pPr>
        <w:jc w:val="both"/>
      </w:pPr>
      <w:r>
        <w:t xml:space="preserve">im Unterkapitel 1.10: </w:t>
      </w:r>
    </w:p>
    <w:p w14:paraId="7480DAAD" w14:textId="602FD72F" w:rsidR="00C92D5D" w:rsidRDefault="00C92D5D" w:rsidP="00EF066E">
      <w:pPr>
        <w:jc w:val="both"/>
      </w:pPr>
      <w:r w:rsidRPr="00C92D5D">
        <w:rPr>
          <w:i/>
          <w:iCs/>
        </w:rPr>
        <w:t xml:space="preserve">Der Kongress in Vysočany </w:t>
      </w:r>
      <w:r w:rsidRPr="00C92D5D">
        <w:rPr>
          <w:i/>
          <w:iCs/>
          <w:highlight w:val="cyan"/>
        </w:rPr>
        <w:t>zerstörte die Bemühungen um die Machtübernahme in der Tschechoslowakei</w:t>
      </w:r>
      <w:r w:rsidRPr="00C92D5D">
        <w:rPr>
          <w:i/>
          <w:iCs/>
        </w:rPr>
        <w:t xml:space="preserve"> und die Bildung einer provisorischen Bauern-Arbeiter-Regierung, die die sowjetische Besatzung legalisieren sollte, </w:t>
      </w:r>
      <w:r w:rsidRPr="00C92D5D">
        <w:rPr>
          <w:i/>
          <w:iCs/>
          <w:highlight w:val="cyan"/>
        </w:rPr>
        <w:t>vollständig</w:t>
      </w:r>
      <w:r>
        <w:t>.</w:t>
      </w:r>
      <w:r w:rsidR="001807BE">
        <w:t>,</w:t>
      </w:r>
    </w:p>
    <w:p w14:paraId="75267A54" w14:textId="6B1C4EAB" w:rsidR="001807BE" w:rsidRDefault="001807BE" w:rsidP="00EF066E">
      <w:pPr>
        <w:jc w:val="both"/>
      </w:pPr>
      <w:r>
        <w:t xml:space="preserve">im Unterkapitel 2.3: </w:t>
      </w:r>
    </w:p>
    <w:p w14:paraId="2E506026" w14:textId="60A5CE74" w:rsidR="001807BE" w:rsidRDefault="001807BE" w:rsidP="00EF066E">
      <w:pPr>
        <w:jc w:val="both"/>
        <w:rPr>
          <w:i/>
          <w:iCs/>
        </w:rPr>
      </w:pPr>
      <w:r w:rsidRPr="001807BE">
        <w:rPr>
          <w:i/>
          <w:iCs/>
        </w:rPr>
        <w:t xml:space="preserve">Diese Trennung von SDS und SPD ermöglichte später die Annäherung der SPD an die CDU/CSU, was zur Bildung der sogenannten Großen Koalition führte, die 1966 gebildet wurde. In der Folge waren die </w:t>
      </w:r>
      <w:r w:rsidRPr="001807BE">
        <w:rPr>
          <w:i/>
          <w:iCs/>
          <w:highlight w:val="cyan"/>
        </w:rPr>
        <w:t>Parteien</w:t>
      </w:r>
      <w:r w:rsidRPr="001807BE">
        <w:rPr>
          <w:i/>
          <w:iCs/>
        </w:rPr>
        <w:t xml:space="preserve"> ideologisch so unterschiedlich, dass die Mitgliedschaft in beiden Parteien galt als unvereinbar.</w:t>
      </w:r>
      <w:r>
        <w:rPr>
          <w:i/>
          <w:iCs/>
        </w:rPr>
        <w:t>,</w:t>
      </w:r>
    </w:p>
    <w:p w14:paraId="04B95363" w14:textId="4E4BA638" w:rsidR="001807BE" w:rsidRDefault="001807BE" w:rsidP="00EF066E">
      <w:pPr>
        <w:jc w:val="both"/>
      </w:pPr>
      <w:r>
        <w:t>im Unterkapitel 2.16.3:</w:t>
      </w:r>
    </w:p>
    <w:p w14:paraId="445346D3" w14:textId="3FCB46D1" w:rsidR="001807BE" w:rsidRPr="001807BE" w:rsidRDefault="001807BE" w:rsidP="00EF066E">
      <w:pPr>
        <w:jc w:val="both"/>
        <w:rPr>
          <w:i/>
          <w:iCs/>
        </w:rPr>
      </w:pPr>
      <w:r w:rsidRPr="001807BE">
        <w:rPr>
          <w:i/>
          <w:iCs/>
        </w:rPr>
        <w:t xml:space="preserve">Damit erhielten </w:t>
      </w:r>
      <w:r w:rsidRPr="001807BE">
        <w:rPr>
          <w:i/>
          <w:iCs/>
          <w:highlight w:val="cyan"/>
        </w:rPr>
        <w:t>deutsche</w:t>
      </w:r>
      <w:r w:rsidRPr="001807BE">
        <w:rPr>
          <w:i/>
          <w:iCs/>
        </w:rPr>
        <w:t xml:space="preserve"> Frauen erstmals die Chance, aus ihrem erfahrenen Stereotyp und ihrer traditionellen Frauenrolle herauszutreten.</w:t>
      </w:r>
    </w:p>
    <w:p w14:paraId="7192FD50" w14:textId="7784403C" w:rsidR="00C92D5D" w:rsidRDefault="00C92D5D" w:rsidP="00EF066E">
      <w:pPr>
        <w:jc w:val="both"/>
      </w:pPr>
    </w:p>
    <w:p w14:paraId="27A1469E" w14:textId="4666E35A" w:rsidR="00C92D5D" w:rsidRPr="00C92D5D" w:rsidRDefault="00C92D5D" w:rsidP="00EF066E">
      <w:pPr>
        <w:jc w:val="both"/>
      </w:pPr>
      <w:r>
        <w:t xml:space="preserve">Bei der Beantwortung der Frage nach dem Zweck der Studentenbewegung (Kapitel 2.1) ist linksradikale Terminologie zu erkennen: </w:t>
      </w:r>
      <w:r w:rsidRPr="00C92D5D">
        <w:rPr>
          <w:i/>
          <w:iCs/>
        </w:rPr>
        <w:t xml:space="preserve">In den Anfängen der deutschen Studentenbewegung war der Hauptzweck der Proteste, auf die Probleme der Dritten Welt und das </w:t>
      </w:r>
      <w:r w:rsidRPr="00C92D5D">
        <w:rPr>
          <w:i/>
          <w:iCs/>
          <w:highlight w:val="cyan"/>
        </w:rPr>
        <w:t>pseudodemokratische System, das weiterhin eine Diktatur verbarg</w:t>
      </w:r>
      <w:r w:rsidRPr="00C92D5D">
        <w:rPr>
          <w:i/>
          <w:iCs/>
        </w:rPr>
        <w:t>, aufmerksam zu machen</w:t>
      </w:r>
      <w:r>
        <w:rPr>
          <w:i/>
          <w:iCs/>
        </w:rPr>
        <w:t>.</w:t>
      </w:r>
      <w:r>
        <w:t xml:space="preserve"> Hier fragt sich der Leser/die Leserin, ob die Autorin diese Aussage </w:t>
      </w:r>
      <w:r w:rsidR="001807BE">
        <w:t>aus der Literatur übernommen hat oder ob sie selbst die westdeutsche Gesellschaft vor 1968 so charakterisiert.</w:t>
      </w:r>
    </w:p>
    <w:p w14:paraId="0314D6C2" w14:textId="517F8E71" w:rsidR="001076A5" w:rsidRDefault="001076A5" w:rsidP="00EF066E">
      <w:pPr>
        <w:jc w:val="both"/>
      </w:pPr>
    </w:p>
    <w:p w14:paraId="25886736" w14:textId="7CEC4B25" w:rsidR="001076A5" w:rsidRDefault="001076A5" w:rsidP="00EF066E">
      <w:pPr>
        <w:jc w:val="both"/>
      </w:pPr>
    </w:p>
    <w:p w14:paraId="100BC40E" w14:textId="77777777" w:rsidR="001076A5" w:rsidRPr="00F95662" w:rsidRDefault="001076A5" w:rsidP="00EF066E">
      <w:pPr>
        <w:jc w:val="both"/>
        <w:rPr>
          <w:lang w:val="de-DE"/>
        </w:rPr>
      </w:pPr>
    </w:p>
    <w:p w14:paraId="64161B98" w14:textId="3F2D9539" w:rsidR="00E04553" w:rsidRPr="00F95662" w:rsidRDefault="00E04553" w:rsidP="00EF066E">
      <w:pPr>
        <w:jc w:val="both"/>
        <w:rPr>
          <w:lang w:val="de-DE"/>
        </w:rPr>
      </w:pPr>
    </w:p>
    <w:p w14:paraId="5838F9BE" w14:textId="132CA332" w:rsidR="007B61E9" w:rsidRDefault="007B61E9" w:rsidP="00EF066E">
      <w:pPr>
        <w:jc w:val="both"/>
        <w:rPr>
          <w:lang w:val="de-DE"/>
        </w:rPr>
      </w:pPr>
      <w:r>
        <w:rPr>
          <w:lang w:val="de-DE"/>
        </w:rPr>
        <w:lastRenderedPageBreak/>
        <w:t xml:space="preserve">Die Abkürzung </w:t>
      </w:r>
      <w:r w:rsidRPr="00961F61">
        <w:rPr>
          <w:i/>
          <w:iCs/>
          <w:lang w:val="de-DE"/>
        </w:rPr>
        <w:t>StB</w:t>
      </w:r>
      <w:r>
        <w:rPr>
          <w:lang w:val="de-DE"/>
        </w:rPr>
        <w:t xml:space="preserve"> (S. 21), der Begriff </w:t>
      </w:r>
      <w:r w:rsidRPr="00961F61">
        <w:rPr>
          <w:i/>
          <w:iCs/>
          <w:lang w:val="de-DE"/>
        </w:rPr>
        <w:t>Nationale Front</w:t>
      </w:r>
      <w:r>
        <w:rPr>
          <w:lang w:val="de-DE"/>
        </w:rPr>
        <w:t xml:space="preserve"> und </w:t>
      </w:r>
      <w:r w:rsidRPr="00961F61">
        <w:rPr>
          <w:i/>
          <w:iCs/>
          <w:lang w:val="de-DE"/>
        </w:rPr>
        <w:t>Warschauer Pakt</w:t>
      </w:r>
      <w:r>
        <w:rPr>
          <w:lang w:val="de-DE"/>
        </w:rPr>
        <w:t xml:space="preserve"> </w:t>
      </w:r>
      <w:r>
        <w:rPr>
          <w:lang w:val="de-DE"/>
        </w:rPr>
        <w:t>(S. 22)</w:t>
      </w:r>
      <w:r>
        <w:rPr>
          <w:lang w:val="de-DE"/>
        </w:rPr>
        <w:t xml:space="preserve"> verdienen eine Fußnote, wobei ein Hinweis auf die negative Konnotation des Wortes ´Pakt´ hilfreich gewesen wäre – es existiert noch ein anderer Begriff, der von den Teilnehmerstaaten benutzt wurde.</w:t>
      </w:r>
    </w:p>
    <w:p w14:paraId="377734C0" w14:textId="77777777" w:rsidR="007B61E9" w:rsidRDefault="007B61E9" w:rsidP="00EF066E">
      <w:pPr>
        <w:jc w:val="both"/>
        <w:rPr>
          <w:lang w:val="de-DE"/>
        </w:rPr>
      </w:pPr>
    </w:p>
    <w:p w14:paraId="323C4BC4" w14:textId="1CD1CB76" w:rsidR="001807BE" w:rsidRDefault="00E04553" w:rsidP="00EF066E">
      <w:pPr>
        <w:jc w:val="both"/>
        <w:rPr>
          <w:lang w:val="de-DE"/>
        </w:rPr>
      </w:pPr>
      <w:r w:rsidRPr="00F95662">
        <w:rPr>
          <w:lang w:val="de-DE"/>
        </w:rPr>
        <w:t xml:space="preserve">Auch sprachlich weist der Text einige </w:t>
      </w:r>
      <w:r w:rsidR="001807BE">
        <w:rPr>
          <w:lang w:val="de-DE"/>
        </w:rPr>
        <w:t>Grammatik-, Ausdrucks- und Lexikf</w:t>
      </w:r>
      <w:r w:rsidRPr="00F95662">
        <w:rPr>
          <w:lang w:val="de-DE"/>
        </w:rPr>
        <w:t xml:space="preserve">ehler auf. </w:t>
      </w:r>
      <w:r w:rsidR="001807BE">
        <w:rPr>
          <w:lang w:val="de-DE"/>
        </w:rPr>
        <w:t>Beachtet werden sollte auch der Einsatz der korrekten Zeitform (</w:t>
      </w:r>
      <w:r w:rsidR="0034169F">
        <w:rPr>
          <w:lang w:val="de-DE"/>
        </w:rPr>
        <w:t>hier Präteritum und nicht historisches Präsens).</w:t>
      </w:r>
    </w:p>
    <w:p w14:paraId="00846526" w14:textId="72292663" w:rsidR="0034169F" w:rsidRDefault="0034169F" w:rsidP="00EF066E">
      <w:pPr>
        <w:jc w:val="both"/>
        <w:rPr>
          <w:lang w:val="de-DE"/>
        </w:rPr>
      </w:pPr>
    </w:p>
    <w:p w14:paraId="2FB29E07" w14:textId="5AA07243" w:rsidR="0034169F" w:rsidRDefault="0034169F" w:rsidP="00EF066E">
      <w:pPr>
        <w:jc w:val="both"/>
        <w:rPr>
          <w:lang w:val="de-DE"/>
        </w:rPr>
      </w:pPr>
      <w:r>
        <w:rPr>
          <w:lang w:val="de-DE"/>
        </w:rPr>
        <w:t>Beispiele für Textstellen, die sprachlich unverständlich sind und/oder auch zu Missverständnissen führen können:</w:t>
      </w:r>
    </w:p>
    <w:p w14:paraId="031C274A" w14:textId="584C6508" w:rsidR="0034169F" w:rsidRDefault="0034169F" w:rsidP="00EF066E">
      <w:pPr>
        <w:jc w:val="both"/>
        <w:rPr>
          <w:i/>
          <w:iCs/>
        </w:rPr>
      </w:pPr>
      <w:r>
        <w:rPr>
          <w:lang w:val="de-DE"/>
        </w:rPr>
        <w:t xml:space="preserve">S. 11: </w:t>
      </w:r>
      <w:r w:rsidRPr="0034169F">
        <w:rPr>
          <w:i/>
          <w:iCs/>
        </w:rPr>
        <w:t xml:space="preserve">Nach einer kurzen Vorstellung der beiden Länder und ihrer </w:t>
      </w:r>
      <w:r w:rsidRPr="0034169F">
        <w:rPr>
          <w:i/>
          <w:iCs/>
          <w:highlight w:val="cyan"/>
        </w:rPr>
        <w:t>aktuellen</w:t>
      </w:r>
      <w:r w:rsidRPr="0034169F">
        <w:rPr>
          <w:i/>
          <w:iCs/>
          <w:highlight w:val="cyan"/>
        </w:rPr>
        <w:t>?</w:t>
      </w:r>
      <w:r w:rsidRPr="0034169F">
        <w:rPr>
          <w:i/>
          <w:iCs/>
        </w:rPr>
        <w:t xml:space="preserve"> politischen Situation </w:t>
      </w:r>
      <w:r w:rsidRPr="0034169F">
        <w:rPr>
          <w:i/>
          <w:iCs/>
          <w:highlight w:val="cyan"/>
        </w:rPr>
        <w:t>sollte man</w:t>
      </w:r>
      <w:r w:rsidRPr="0034169F">
        <w:rPr>
          <w:i/>
          <w:iCs/>
        </w:rPr>
        <w:t xml:space="preserve"> die beiden Länder vergleichen, wie sich die politische Situation unterschied, </w:t>
      </w:r>
      <w:r w:rsidRPr="0034169F">
        <w:rPr>
          <w:i/>
          <w:iCs/>
          <w:highlight w:val="cyan"/>
        </w:rPr>
        <w:t>womit sie schließlich zusammenfielen</w:t>
      </w:r>
      <w:r w:rsidRPr="0034169F">
        <w:rPr>
          <w:i/>
          <w:iCs/>
          <w:highlight w:val="cyan"/>
        </w:rPr>
        <w:t>?</w:t>
      </w:r>
      <w:r w:rsidRPr="0034169F">
        <w:rPr>
          <w:i/>
          <w:iCs/>
        </w:rPr>
        <w:t xml:space="preserve"> und ob sie sich in irgendeiner Weise gegenseitig beeinflussten</w:t>
      </w:r>
      <w:r w:rsidRPr="0034169F">
        <w:rPr>
          <w:i/>
          <w:iCs/>
        </w:rPr>
        <w:t>.</w:t>
      </w:r>
    </w:p>
    <w:p w14:paraId="05CCC4F1" w14:textId="71675BA9" w:rsidR="0034169F" w:rsidRDefault="0034169F" w:rsidP="00EF066E">
      <w:pPr>
        <w:jc w:val="both"/>
        <w:rPr>
          <w:i/>
          <w:iCs/>
        </w:rPr>
      </w:pPr>
      <w:r w:rsidRPr="0034169F">
        <w:t xml:space="preserve">S. 14: </w:t>
      </w:r>
      <w:r w:rsidRPr="0034169F">
        <w:rPr>
          <w:i/>
          <w:iCs/>
        </w:rPr>
        <w:t xml:space="preserve">Darüber hinaus wurde die </w:t>
      </w:r>
      <w:r w:rsidRPr="0034169F">
        <w:rPr>
          <w:i/>
          <w:iCs/>
          <w:highlight w:val="cyan"/>
        </w:rPr>
        <w:t>Demonstrationssitzung</w:t>
      </w:r>
      <w:r w:rsidRPr="0034169F">
        <w:rPr>
          <w:i/>
          <w:iCs/>
        </w:rPr>
        <w:t xml:space="preserve"> am zweiten Tag des Treffens (31. Oktober) von Studenten unterbrochen, die gegen das häufige Abschalten des Stroms in Wohnheimen protestierten.</w:t>
      </w:r>
    </w:p>
    <w:p w14:paraId="253464D9" w14:textId="4978DA18" w:rsidR="007B61E9" w:rsidRDefault="007B61E9" w:rsidP="00EF066E">
      <w:pPr>
        <w:jc w:val="both"/>
        <w:rPr>
          <w:i/>
          <w:iCs/>
        </w:rPr>
      </w:pPr>
      <w:r>
        <w:t xml:space="preserve">S. 21: </w:t>
      </w:r>
      <w:r w:rsidRPr="007B61E9">
        <w:rPr>
          <w:i/>
          <w:iCs/>
        </w:rPr>
        <w:t xml:space="preserve">Der neue Innenminister Josef Pavel ersetzte alle Statthalter des </w:t>
      </w:r>
      <w:r w:rsidRPr="007B61E9">
        <w:rPr>
          <w:i/>
          <w:iCs/>
          <w:highlight w:val="cyan"/>
        </w:rPr>
        <w:t>Kraft</w:t>
      </w:r>
      <w:r w:rsidRPr="007B61E9">
        <w:rPr>
          <w:i/>
          <w:iCs/>
        </w:rPr>
        <w:t>ministeriums</w:t>
      </w:r>
      <w:r w:rsidRPr="007B61E9">
        <w:rPr>
          <w:i/>
          <w:iCs/>
        </w:rPr>
        <w:t xml:space="preserve"> …</w:t>
      </w:r>
    </w:p>
    <w:p w14:paraId="3C53B771" w14:textId="3741689B" w:rsidR="007B61E9" w:rsidRDefault="007B61E9" w:rsidP="00EF066E">
      <w:pPr>
        <w:jc w:val="both"/>
      </w:pPr>
      <w:r w:rsidRPr="007B61E9">
        <w:t xml:space="preserve">S. 25: </w:t>
      </w:r>
      <w:r w:rsidRPr="000C6A48">
        <w:rPr>
          <w:i/>
          <w:iCs/>
          <w:highlight w:val="cyan"/>
        </w:rPr>
        <w:t>Dann wurde es eben erwartet, wenn ein neuer Vorwand für weiteren Druck auftauchen würde.</w:t>
      </w:r>
      <w:r>
        <w:t xml:space="preserve"> </w:t>
      </w:r>
    </w:p>
    <w:p w14:paraId="6356D002" w14:textId="0E30F5BE" w:rsidR="000C6A48" w:rsidRDefault="000C6A48" w:rsidP="00EF066E">
      <w:pPr>
        <w:jc w:val="both"/>
      </w:pPr>
      <w:r>
        <w:t xml:space="preserve">S. 29: </w:t>
      </w:r>
      <w:r w:rsidRPr="000C6A48">
        <w:rPr>
          <w:i/>
          <w:iCs/>
        </w:rPr>
        <w:t xml:space="preserve">…, </w:t>
      </w:r>
      <w:r w:rsidRPr="000C6A48">
        <w:rPr>
          <w:i/>
          <w:iCs/>
          <w:highlight w:val="cyan"/>
        </w:rPr>
        <w:t>wurden Delegierte unter der Führung von gewählt</w:t>
      </w:r>
    </w:p>
    <w:p w14:paraId="0750270F" w14:textId="6A601520" w:rsidR="000C6A48" w:rsidRDefault="000C6A48" w:rsidP="00EF066E">
      <w:pPr>
        <w:jc w:val="both"/>
        <w:rPr>
          <w:i/>
          <w:iCs/>
        </w:rPr>
      </w:pPr>
      <w:r>
        <w:t xml:space="preserve">S. 31: </w:t>
      </w:r>
      <w:r w:rsidRPr="000C6A48">
        <w:rPr>
          <w:i/>
          <w:iCs/>
        </w:rPr>
        <w:t xml:space="preserve">Gleichzeitig </w:t>
      </w:r>
      <w:r w:rsidRPr="000C6A48">
        <w:rPr>
          <w:i/>
          <w:iCs/>
          <w:highlight w:val="cyan"/>
        </w:rPr>
        <w:t>koopten</w:t>
      </w:r>
      <w:r w:rsidRPr="000C6A48">
        <w:rPr>
          <w:i/>
          <w:iCs/>
        </w:rPr>
        <w:t xml:space="preserve"> 80 Delegierte des Kongresses in Vysočany das Zentralkomitee</w:t>
      </w:r>
      <w:r w:rsidRPr="000C6A48">
        <w:rPr>
          <w:i/>
          <w:iCs/>
        </w:rPr>
        <w:t>.</w:t>
      </w:r>
    </w:p>
    <w:p w14:paraId="19F16550" w14:textId="33196FED" w:rsidR="001807BE" w:rsidRDefault="000C6A48" w:rsidP="00EF066E">
      <w:pPr>
        <w:jc w:val="both"/>
        <w:rPr>
          <w:i/>
          <w:iCs/>
          <w:lang w:val="de-DE"/>
        </w:rPr>
      </w:pPr>
      <w:r w:rsidRPr="000C6A48">
        <w:t>S. 36:</w:t>
      </w:r>
      <w:r>
        <w:rPr>
          <w:i/>
          <w:iCs/>
        </w:rPr>
        <w:t xml:space="preserve"> </w:t>
      </w:r>
      <w:r w:rsidRPr="000C6A48">
        <w:rPr>
          <w:i/>
          <w:iCs/>
        </w:rPr>
        <w:t xml:space="preserve">Etwa einen Monat später schrieb Ekkehart Krippendorf, Assistent am Otto-Suhr-Institut, in einem Artikel, </w:t>
      </w:r>
      <w:r w:rsidRPr="000C6A48">
        <w:rPr>
          <w:i/>
          <w:iCs/>
          <w:highlight w:val="cyan"/>
        </w:rPr>
        <w:t>dass nicht nur Kuby am 7.</w:t>
      </w:r>
      <w:r w:rsidRPr="000C6A48">
        <w:rPr>
          <w:i/>
          <w:iCs/>
        </w:rPr>
        <w:t xml:space="preserve"> Der Rektor bestritt dies</w:t>
      </w:r>
      <w:r>
        <w:rPr>
          <w:i/>
          <w:iCs/>
          <w:lang w:val="de-DE"/>
        </w:rPr>
        <w:t xml:space="preserve"> …</w:t>
      </w:r>
    </w:p>
    <w:p w14:paraId="71E7B821" w14:textId="3DB089E5" w:rsidR="000C6A48" w:rsidRDefault="000C6A48" w:rsidP="00EF066E">
      <w:pPr>
        <w:jc w:val="both"/>
      </w:pPr>
      <w:r>
        <w:rPr>
          <w:lang w:val="de-DE"/>
        </w:rPr>
        <w:t xml:space="preserve">S. 37:  </w:t>
      </w:r>
      <w:r>
        <w:t xml:space="preserve">Nach dem Aufstand in Ungarn 1956 </w:t>
      </w:r>
      <w:r w:rsidRPr="000C6A48">
        <w:rPr>
          <w:highlight w:val="cyan"/>
        </w:rPr>
        <w:t>bekleidete er die Position</w:t>
      </w:r>
      <w:r>
        <w:t xml:space="preserve"> des demokratischen Sozialismus.</w:t>
      </w:r>
      <w:r>
        <w:t xml:space="preserve"> … </w:t>
      </w:r>
      <w:r w:rsidRPr="000C6A48">
        <w:rPr>
          <w:i/>
          <w:iCs/>
        </w:rPr>
        <w:t xml:space="preserve">Ein Jahr später wurde er sein </w:t>
      </w:r>
      <w:r w:rsidRPr="000C6A48">
        <w:rPr>
          <w:i/>
          <w:iCs/>
          <w:highlight w:val="cyan"/>
        </w:rPr>
        <w:t>Beamter</w:t>
      </w:r>
      <w:r>
        <w:t>.</w:t>
      </w:r>
    </w:p>
    <w:p w14:paraId="38A6FAAC" w14:textId="12ACEE80" w:rsidR="000C6A48" w:rsidRPr="00961F61" w:rsidRDefault="000C6A48" w:rsidP="00EF066E">
      <w:pPr>
        <w:jc w:val="both"/>
        <w:rPr>
          <w:i/>
          <w:iCs/>
          <w:lang w:val="de-DE"/>
        </w:rPr>
      </w:pPr>
      <w:r>
        <w:t xml:space="preserve">S. 39: </w:t>
      </w:r>
      <w:r w:rsidR="00961F61">
        <w:t xml:space="preserve"> </w:t>
      </w:r>
      <w:r w:rsidR="00961F61" w:rsidRPr="00961F61">
        <w:rPr>
          <w:i/>
          <w:iCs/>
        </w:rPr>
        <w:t xml:space="preserve">Darüber hinaus nahmen viele Professoren an einer vom Dekan genehmigten Veranstaltung, die vor dem Opernhaus stattgefunden wurde, teil, obwohl die Polizei aufgrund des Vorfalls dort Versammlungsverbot </w:t>
      </w:r>
      <w:r w:rsidR="00961F61" w:rsidRPr="00961F61">
        <w:rPr>
          <w:i/>
          <w:iCs/>
          <w:highlight w:val="cyan"/>
        </w:rPr>
        <w:t>hatte</w:t>
      </w:r>
      <w:r w:rsidR="00961F61" w:rsidRPr="00961F61">
        <w:rPr>
          <w:i/>
          <w:iCs/>
        </w:rPr>
        <w:t>.</w:t>
      </w:r>
    </w:p>
    <w:p w14:paraId="7C233F47" w14:textId="77777777" w:rsidR="000C6A48" w:rsidRPr="000C6A48" w:rsidRDefault="000C6A48" w:rsidP="00EF066E">
      <w:pPr>
        <w:jc w:val="both"/>
        <w:rPr>
          <w:i/>
          <w:iCs/>
          <w:lang w:val="de-DE"/>
        </w:rPr>
      </w:pPr>
    </w:p>
    <w:p w14:paraId="34B69851" w14:textId="78ABAAA7" w:rsidR="00F3103C" w:rsidRDefault="00F95662" w:rsidP="00EF066E">
      <w:pPr>
        <w:jc w:val="both"/>
      </w:pPr>
      <w:r w:rsidRPr="00F95662">
        <w:rPr>
          <w:lang w:val="de-DE"/>
        </w:rPr>
        <w:t xml:space="preserve">Kurios ist der Satz auf S. </w:t>
      </w:r>
      <w:r w:rsidR="00E1591E">
        <w:rPr>
          <w:lang w:val="de-DE"/>
        </w:rPr>
        <w:t xml:space="preserve">16: </w:t>
      </w:r>
      <w:r w:rsidRPr="00F95662">
        <w:rPr>
          <w:lang w:val="de-DE"/>
        </w:rPr>
        <w:t xml:space="preserve"> </w:t>
      </w:r>
      <w:r w:rsidR="00E1591E" w:rsidRPr="00E1591E">
        <w:rPr>
          <w:i/>
          <w:iCs/>
        </w:rPr>
        <w:t>Er hatte keine Ambitionen, den Sowjetblock zu erweitern, sondern konzentrierte sich darauf,</w:t>
      </w:r>
      <w:r w:rsidR="00E1591E" w:rsidRPr="00E1591E">
        <w:rPr>
          <w:i/>
          <w:iCs/>
          <w:highlight w:val="cyan"/>
        </w:rPr>
        <w:t xml:space="preserve"> nicht auseinanderzufallen</w:t>
      </w:r>
      <w:r w:rsidRPr="00E1591E">
        <w:rPr>
          <w:i/>
          <w:iCs/>
          <w:lang w:val="de-DE"/>
        </w:rPr>
        <w:t>.</w:t>
      </w:r>
      <w:r w:rsidR="0067239D">
        <w:rPr>
          <w:i/>
          <w:iCs/>
          <w:lang w:val="de-DE"/>
        </w:rPr>
        <w:t xml:space="preserve"> </w:t>
      </w:r>
    </w:p>
    <w:p w14:paraId="79324D1D" w14:textId="19C55017" w:rsidR="0067239D" w:rsidRDefault="0067239D" w:rsidP="00EF066E">
      <w:pPr>
        <w:jc w:val="both"/>
      </w:pPr>
    </w:p>
    <w:p w14:paraId="18409766" w14:textId="77777777" w:rsidR="00E1591E" w:rsidRDefault="00E1591E" w:rsidP="00E1591E">
      <w:pPr>
        <w:jc w:val="both"/>
        <w:rPr>
          <w:lang w:val="de-DE"/>
        </w:rPr>
      </w:pPr>
      <w:r>
        <w:rPr>
          <w:lang w:val="de-DE"/>
        </w:rPr>
        <w:t xml:space="preserve">Noch </w:t>
      </w:r>
      <w:r>
        <w:rPr>
          <w:lang w:val="de-DE"/>
        </w:rPr>
        <w:t>zwei</w:t>
      </w:r>
      <w:r>
        <w:rPr>
          <w:lang w:val="de-DE"/>
        </w:rPr>
        <w:t xml:space="preserve"> Hinweis</w:t>
      </w:r>
      <w:r>
        <w:rPr>
          <w:lang w:val="de-DE"/>
        </w:rPr>
        <w:t>e</w:t>
      </w:r>
      <w:r>
        <w:rPr>
          <w:lang w:val="de-DE"/>
        </w:rPr>
        <w:t xml:space="preserve">: </w:t>
      </w:r>
    </w:p>
    <w:p w14:paraId="02046A21" w14:textId="02D5B592" w:rsidR="00E1591E" w:rsidRDefault="00E1591E" w:rsidP="00E1591E">
      <w:pPr>
        <w:jc w:val="both"/>
        <w:rPr>
          <w:lang w:val="de-DE"/>
        </w:rPr>
      </w:pPr>
      <w:r>
        <w:rPr>
          <w:lang w:val="de-DE"/>
        </w:rPr>
        <w:t xml:space="preserve">1. Zu Beginn von Überschriften vermeidet man möglichst den Einsatz von Artikeln, also z.B. Wiederbelebungsprozess / Kongress in Vyso4any / Zweck der Studentenrevolte … </w:t>
      </w:r>
    </w:p>
    <w:p w14:paraId="066BCE52" w14:textId="0BDA1C35" w:rsidR="00E1591E" w:rsidRDefault="00E1591E" w:rsidP="00E1591E">
      <w:pPr>
        <w:jc w:val="both"/>
        <w:rPr>
          <w:lang w:val="de-DE"/>
        </w:rPr>
      </w:pPr>
      <w:r>
        <w:rPr>
          <w:lang w:val="de-DE"/>
        </w:rPr>
        <w:t xml:space="preserve">2. </w:t>
      </w:r>
      <w:r>
        <w:rPr>
          <w:lang w:val="de-DE"/>
        </w:rPr>
        <w:t xml:space="preserve">Der </w:t>
      </w:r>
      <w:r w:rsidRPr="00E1591E">
        <w:rPr>
          <w:b/>
          <w:bCs/>
          <w:i/>
          <w:iCs/>
          <w:lang w:val="de-DE"/>
        </w:rPr>
        <w:t>E</w:t>
      </w:r>
      <w:r w:rsidRPr="0034169F">
        <w:rPr>
          <w:i/>
          <w:iCs/>
          <w:lang w:val="de-DE"/>
        </w:rPr>
        <w:t>rste Sekretär</w:t>
      </w:r>
      <w:r>
        <w:rPr>
          <w:lang w:val="de-DE"/>
        </w:rPr>
        <w:t xml:space="preserve"> des Zentralkomitees ist ein </w:t>
      </w:r>
      <w:r>
        <w:rPr>
          <w:lang w:val="de-DE"/>
        </w:rPr>
        <w:t>Eigenname (</w:t>
      </w:r>
      <w:r>
        <w:rPr>
          <w:lang w:val="de-DE"/>
        </w:rPr>
        <w:t>Name einer Funktion</w:t>
      </w:r>
      <w:r>
        <w:rPr>
          <w:lang w:val="de-DE"/>
        </w:rPr>
        <w:t>)</w:t>
      </w:r>
      <w:r>
        <w:rPr>
          <w:lang w:val="de-DE"/>
        </w:rPr>
        <w:t xml:space="preserve"> und wird </w:t>
      </w:r>
      <w:r>
        <w:rPr>
          <w:lang w:val="de-DE"/>
        </w:rPr>
        <w:t xml:space="preserve">als solches </w:t>
      </w:r>
      <w:r>
        <w:rPr>
          <w:lang w:val="de-DE"/>
        </w:rPr>
        <w:t>im Deutschen mit großem Anfangsbuchstaben geschrieben.</w:t>
      </w:r>
      <w:r w:rsidR="007B61E9">
        <w:rPr>
          <w:lang w:val="de-DE"/>
        </w:rPr>
        <w:t xml:space="preserve"> Genauso: </w:t>
      </w:r>
      <w:r w:rsidR="007B61E9" w:rsidRPr="007B61E9">
        <w:rPr>
          <w:b/>
          <w:bCs/>
          <w:lang w:val="de-DE"/>
        </w:rPr>
        <w:t>S</w:t>
      </w:r>
      <w:r w:rsidR="007B61E9">
        <w:rPr>
          <w:lang w:val="de-DE"/>
        </w:rPr>
        <w:t>iegreicher Februar (S. 23).</w:t>
      </w:r>
    </w:p>
    <w:p w14:paraId="382E4664" w14:textId="77777777" w:rsidR="00D208CF" w:rsidRPr="00996253" w:rsidRDefault="00D208CF" w:rsidP="00EF066E">
      <w:pPr>
        <w:jc w:val="both"/>
        <w:rPr>
          <w:i/>
          <w:iCs/>
          <w:lang w:val="de-DE"/>
        </w:rPr>
      </w:pPr>
    </w:p>
    <w:p w14:paraId="27DB4295" w14:textId="3BE11761" w:rsidR="003B30C2" w:rsidRDefault="00463647" w:rsidP="00463647">
      <w:pPr>
        <w:jc w:val="both"/>
        <w:rPr>
          <w:lang w:val="de-DE"/>
        </w:rPr>
      </w:pPr>
      <w:r w:rsidRPr="00996253">
        <w:rPr>
          <w:lang w:val="de-DE"/>
        </w:rPr>
        <w:t>Die Arbeit beweist, das</w:t>
      </w:r>
      <w:r>
        <w:rPr>
          <w:lang w:val="de-DE"/>
        </w:rPr>
        <w:t>s</w:t>
      </w:r>
      <w:r w:rsidRPr="00996253">
        <w:rPr>
          <w:lang w:val="de-DE"/>
        </w:rPr>
        <w:t xml:space="preserve"> </w:t>
      </w:r>
      <w:r>
        <w:rPr>
          <w:lang w:val="de-DE"/>
        </w:rPr>
        <w:t>Aneta Pirklová</w:t>
      </w:r>
      <w:r w:rsidRPr="00996253">
        <w:rPr>
          <w:lang w:val="de-DE"/>
        </w:rPr>
        <w:t xml:space="preserve"> aus</w:t>
      </w:r>
      <w:r>
        <w:rPr>
          <w:lang w:val="de-DE"/>
        </w:rPr>
        <w:t>gezeichnet</w:t>
      </w:r>
      <w:r w:rsidRPr="00996253">
        <w:rPr>
          <w:lang w:val="de-DE"/>
        </w:rPr>
        <w:t xml:space="preserve"> recherchiert und das Thema </w:t>
      </w:r>
      <w:r>
        <w:rPr>
          <w:lang w:val="de-DE"/>
        </w:rPr>
        <w:t xml:space="preserve">sehr </w:t>
      </w:r>
      <w:r w:rsidRPr="00996253">
        <w:rPr>
          <w:lang w:val="de-DE"/>
        </w:rPr>
        <w:t xml:space="preserve">gut dargestellt hat. </w:t>
      </w:r>
      <w:r w:rsidR="00961F61">
        <w:rPr>
          <w:lang w:val="de-DE"/>
        </w:rPr>
        <w:t>Quellen wurden konsequent angegeben. Aussagen aus der Fachliteratur hätten mit Zeitzeugenaussagen belegt werden können. Das ist aber als Vorsch</w:t>
      </w:r>
      <w:r w:rsidR="003B30C2">
        <w:rPr>
          <w:lang w:val="de-DE"/>
        </w:rPr>
        <w:t xml:space="preserve">lag für eine ähnlich thematisierte Abschlussarbeit oder Diplomarbeit zu verstehen. </w:t>
      </w:r>
    </w:p>
    <w:p w14:paraId="15776A13" w14:textId="77777777" w:rsidR="003B30C2" w:rsidRDefault="003B30C2" w:rsidP="00463647">
      <w:pPr>
        <w:jc w:val="both"/>
        <w:rPr>
          <w:lang w:val="de-DE"/>
        </w:rPr>
      </w:pPr>
    </w:p>
    <w:p w14:paraId="0843E4EB" w14:textId="21961384" w:rsidR="00463647" w:rsidRPr="00996253" w:rsidRDefault="00463647" w:rsidP="00463647">
      <w:pPr>
        <w:jc w:val="both"/>
        <w:rPr>
          <w:lang w:val="de-DE"/>
        </w:rPr>
      </w:pPr>
      <w:r w:rsidRPr="00996253">
        <w:rPr>
          <w:lang w:val="de-DE"/>
        </w:rPr>
        <w:t xml:space="preserve">Eine gründlichere Endkorrektur hätte sicher </w:t>
      </w:r>
      <w:r>
        <w:rPr>
          <w:lang w:val="de-DE"/>
        </w:rPr>
        <w:t xml:space="preserve">an einigen Stellen </w:t>
      </w:r>
      <w:r w:rsidRPr="00996253">
        <w:rPr>
          <w:lang w:val="de-DE"/>
        </w:rPr>
        <w:t>zu weniger sprachliche</w:t>
      </w:r>
      <w:r>
        <w:rPr>
          <w:lang w:val="de-DE"/>
        </w:rPr>
        <w:t>n</w:t>
      </w:r>
      <w:r w:rsidRPr="00996253">
        <w:rPr>
          <w:lang w:val="de-DE"/>
        </w:rPr>
        <w:t xml:space="preserve"> </w:t>
      </w:r>
      <w:r>
        <w:rPr>
          <w:lang w:val="de-DE"/>
        </w:rPr>
        <w:t>Fehlern</w:t>
      </w:r>
      <w:r w:rsidRPr="00996253">
        <w:rPr>
          <w:lang w:val="de-DE"/>
        </w:rPr>
        <w:t xml:space="preserve"> geführt.</w:t>
      </w:r>
    </w:p>
    <w:p w14:paraId="7B9D9657" w14:textId="77777777" w:rsidR="00E0511C" w:rsidRPr="00996253" w:rsidRDefault="00E0511C" w:rsidP="00E0511C">
      <w:pPr>
        <w:jc w:val="both"/>
        <w:rPr>
          <w:lang w:val="de-DE"/>
        </w:rPr>
      </w:pPr>
    </w:p>
    <w:p w14:paraId="1EF16112" w14:textId="47011DCB" w:rsidR="00C34029" w:rsidRPr="00996253" w:rsidRDefault="00ED4698">
      <w:r w:rsidRPr="00996253">
        <w:t xml:space="preserve">Note: </w:t>
      </w:r>
      <w:r w:rsidR="00D24EED">
        <w:t xml:space="preserve">velmi dobře </w:t>
      </w:r>
      <w:r w:rsidR="00C34029">
        <w:t>(</w:t>
      </w:r>
      <w:r w:rsidR="00463647">
        <w:t>C</w:t>
      </w:r>
      <w:r w:rsidR="00C34029">
        <w:t>)</w:t>
      </w:r>
    </w:p>
    <w:p w14:paraId="22F3F090" w14:textId="77777777" w:rsidR="00ED4698" w:rsidRPr="001E1414" w:rsidRDefault="00ED4698">
      <w:pPr>
        <w:rPr>
          <w:color w:val="FF0000"/>
        </w:rPr>
      </w:pPr>
    </w:p>
    <w:p w14:paraId="03609863" w14:textId="77777777" w:rsidR="00ED4698" w:rsidRPr="001E1414" w:rsidRDefault="00ED4698">
      <w:pPr>
        <w:rPr>
          <w:color w:val="FF0000"/>
        </w:rPr>
      </w:pPr>
    </w:p>
    <w:p w14:paraId="2BC2B9CD" w14:textId="77777777" w:rsidR="00ED4698" w:rsidRPr="001E1414" w:rsidRDefault="00ED4698">
      <w:pPr>
        <w:rPr>
          <w:color w:val="FF0000"/>
        </w:rPr>
      </w:pPr>
    </w:p>
    <w:p w14:paraId="685EAAE9" w14:textId="15C53511" w:rsidR="00ED4698" w:rsidRPr="00C92B07" w:rsidRDefault="00ED4698" w:rsidP="00ED4698">
      <w:pPr>
        <w:jc w:val="both"/>
      </w:pPr>
      <w:r w:rsidRPr="003A3596">
        <w:rPr>
          <w:color w:val="000000" w:themeColor="text1"/>
        </w:rPr>
        <w:t xml:space="preserve">Pardubice, </w:t>
      </w:r>
      <w:r w:rsidR="00E1591E">
        <w:rPr>
          <w:color w:val="000000" w:themeColor="text1"/>
        </w:rPr>
        <w:t>30</w:t>
      </w:r>
      <w:r w:rsidRPr="003A3596">
        <w:rPr>
          <w:color w:val="000000" w:themeColor="text1"/>
        </w:rPr>
        <w:t>.</w:t>
      </w:r>
      <w:r w:rsidR="00E1591E">
        <w:rPr>
          <w:color w:val="000000" w:themeColor="text1"/>
        </w:rPr>
        <w:t>6</w:t>
      </w:r>
      <w:r w:rsidR="003A3596" w:rsidRPr="003A3596">
        <w:rPr>
          <w:color w:val="000000" w:themeColor="text1"/>
        </w:rPr>
        <w:t>.20</w:t>
      </w:r>
      <w:r w:rsidR="00AB718F">
        <w:rPr>
          <w:color w:val="000000" w:themeColor="text1"/>
        </w:rPr>
        <w:t>21</w:t>
      </w:r>
      <w:r w:rsidRPr="003A3596">
        <w:rPr>
          <w:color w:val="000000" w:themeColor="text1"/>
        </w:rPr>
        <w:t xml:space="preserve">                                                                </w:t>
      </w:r>
      <w:r>
        <w:t>PhDr. Bianca Beníšková, Ph.D.</w:t>
      </w:r>
    </w:p>
    <w:p w14:paraId="12CFAAC0" w14:textId="77777777" w:rsidR="00ED4698" w:rsidRPr="00E0511C" w:rsidRDefault="00ED4698">
      <w:pPr>
        <w:rPr>
          <w:color w:val="FF0000"/>
        </w:rPr>
      </w:pPr>
    </w:p>
    <w:sectPr w:rsidR="00ED4698" w:rsidRPr="00E0511C" w:rsidSect="00383E17">
      <w:pgSz w:w="11906" w:h="16838"/>
      <w:pgMar w:top="851" w:right="1417" w:bottom="142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activeWritingStyle w:appName="MSWord" w:lang="de-DE" w:vendorID="64" w:dllVersion="6" w:nlCheck="1" w:checkStyle="0"/>
  <w:activeWritingStyle w:appName="MSWord" w:lang="de-DE" w:vendorID="64" w:dllVersion="0" w:nlCheck="1" w:checkStyle="0"/>
  <w:activeWritingStyle w:appName="MSWord" w:lang="cs-CZ" w:vendorID="64" w:dllVersion="0" w:nlCheck="1" w:checkStyle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F066E"/>
    <w:rsid w:val="000C6A48"/>
    <w:rsid w:val="001076A5"/>
    <w:rsid w:val="001807BE"/>
    <w:rsid w:val="001E1414"/>
    <w:rsid w:val="00201767"/>
    <w:rsid w:val="00247A20"/>
    <w:rsid w:val="00264BF5"/>
    <w:rsid w:val="002709E6"/>
    <w:rsid w:val="002E0503"/>
    <w:rsid w:val="0034169F"/>
    <w:rsid w:val="00372E47"/>
    <w:rsid w:val="00383E17"/>
    <w:rsid w:val="003A3596"/>
    <w:rsid w:val="003B30C2"/>
    <w:rsid w:val="00451A3E"/>
    <w:rsid w:val="00463647"/>
    <w:rsid w:val="004B65C5"/>
    <w:rsid w:val="00524AEA"/>
    <w:rsid w:val="00583E91"/>
    <w:rsid w:val="0067239D"/>
    <w:rsid w:val="006979B1"/>
    <w:rsid w:val="007B13C2"/>
    <w:rsid w:val="007B3B23"/>
    <w:rsid w:val="007B61E9"/>
    <w:rsid w:val="00801E48"/>
    <w:rsid w:val="0080732C"/>
    <w:rsid w:val="00846041"/>
    <w:rsid w:val="008F16D0"/>
    <w:rsid w:val="00961F61"/>
    <w:rsid w:val="00996253"/>
    <w:rsid w:val="00A37285"/>
    <w:rsid w:val="00AB718F"/>
    <w:rsid w:val="00C34029"/>
    <w:rsid w:val="00C92D5D"/>
    <w:rsid w:val="00CC2FD1"/>
    <w:rsid w:val="00D208CF"/>
    <w:rsid w:val="00D24EED"/>
    <w:rsid w:val="00DA1364"/>
    <w:rsid w:val="00E04553"/>
    <w:rsid w:val="00E0511C"/>
    <w:rsid w:val="00E1591E"/>
    <w:rsid w:val="00E55603"/>
    <w:rsid w:val="00E664D7"/>
    <w:rsid w:val="00EA26A7"/>
    <w:rsid w:val="00ED4698"/>
    <w:rsid w:val="00EF066E"/>
    <w:rsid w:val="00F17BDA"/>
    <w:rsid w:val="00F3103C"/>
    <w:rsid w:val="00F87309"/>
    <w:rsid w:val="00F93BD0"/>
    <w:rsid w:val="00F956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E7F7F3"/>
  <w15:docId w15:val="{199AFA22-2C85-4C2B-A07A-764758320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F066E"/>
    <w:rPr>
      <w:rFonts w:ascii="Times New Roman" w:eastAsia="Times New Roman" w:hAnsi="Times New Roman" w:cs="Times New Roman"/>
      <w:lang w:val="cs-CZ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1</Pages>
  <Words>857</Words>
  <Characters>5059</Characters>
  <Application>Microsoft Office Word</Application>
  <DocSecurity>0</DocSecurity>
  <Lines>42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Univerzita Pardubice</Company>
  <LinksUpToDate>false</LinksUpToDate>
  <CharactersWithSpaces>5905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Beniskova Bianca</cp:lastModifiedBy>
  <cp:revision>13</cp:revision>
  <cp:lastPrinted>2017-05-26T07:06:00Z</cp:lastPrinted>
  <dcterms:created xsi:type="dcterms:W3CDTF">2017-05-15T10:34:00Z</dcterms:created>
  <dcterms:modified xsi:type="dcterms:W3CDTF">2021-06-30T13:27:00Z</dcterms:modified>
</cp:coreProperties>
</file>