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DD9F6" w14:textId="6D47E1A1" w:rsidR="00C02989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</w:t>
      </w:r>
    </w:p>
    <w:p w14:paraId="074FA131" w14:textId="77777777" w:rsidR="00C02989" w:rsidRDefault="00C02989"/>
    <w:p w14:paraId="14E77ACB" w14:textId="1FC12B37" w:rsidR="00C02989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354A5B">
        <w:rPr>
          <w:b/>
          <w:bCs/>
          <w:sz w:val="22"/>
          <w:szCs w:val="22"/>
        </w:rPr>
        <w:t>vedoucího/</w:t>
      </w:r>
      <w:r w:rsidRPr="00354A5B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</w:t>
      </w:r>
      <w:r w:rsidR="00354A5B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>/202</w:t>
      </w:r>
      <w:r w:rsidR="00354A5B">
        <w:rPr>
          <w:b/>
          <w:bCs/>
          <w:sz w:val="22"/>
          <w:szCs w:val="22"/>
        </w:rPr>
        <w:t>5</w:t>
      </w:r>
    </w:p>
    <w:p w14:paraId="0F5E74BF" w14:textId="77777777" w:rsidR="00C02989" w:rsidRDefault="00C02989"/>
    <w:p w14:paraId="35B1834D" w14:textId="6EEE5106" w:rsidR="00C02989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3469E9">
        <w:rPr>
          <w:sz w:val="22"/>
          <w:szCs w:val="22"/>
        </w:rPr>
        <w:t>Andrea Kalinová</w:t>
      </w:r>
    </w:p>
    <w:p w14:paraId="7606F87C" w14:textId="7777777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00A57D4C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3469E9" w:rsidRPr="003469E9">
        <w:rPr>
          <w:sz w:val="22"/>
          <w:szCs w:val="22"/>
        </w:rPr>
        <w:t>Slova plná strachu: literární analýza výpovědí o životě v KLDR</w:t>
      </w:r>
    </w:p>
    <w:p w14:paraId="7F2437A6" w14:textId="0C8F248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354A5B">
        <w:rPr>
          <w:sz w:val="22"/>
          <w:szCs w:val="22"/>
        </w:rPr>
        <w:t>Mgr. Kateřina Korábková, Ph.D.</w:t>
      </w:r>
    </w:p>
    <w:p w14:paraId="2B77CB40" w14:textId="5B8E12E9" w:rsidR="00C02989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A774AB" w:rsidRPr="00A774AB">
        <w:rPr>
          <w:sz w:val="22"/>
          <w:szCs w:val="22"/>
        </w:rPr>
        <w:t>PhDr. Petr Šrámek</w:t>
      </w:r>
      <w:r w:rsidRPr="00A774AB">
        <w:rPr>
          <w:sz w:val="22"/>
          <w:szCs w:val="22"/>
        </w:rPr>
        <w:t>, Ph.D.</w:t>
      </w:r>
    </w:p>
    <w:p w14:paraId="2DBD181D" w14:textId="77777777" w:rsidR="00C02989" w:rsidRDefault="00C02989">
      <w:pPr>
        <w:rPr>
          <w:sz w:val="22"/>
          <w:szCs w:val="22"/>
        </w:rPr>
      </w:pPr>
    </w:p>
    <w:p w14:paraId="4A52DD69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5F792B95" w14:textId="77777777" w:rsidR="00C02989" w:rsidRDefault="00C02989">
      <w:pPr>
        <w:rPr>
          <w:sz w:val="22"/>
          <w:szCs w:val="22"/>
        </w:rPr>
      </w:pPr>
    </w:p>
    <w:p w14:paraId="27F1A4A5" w14:textId="3555DB7C" w:rsidR="00F5091C" w:rsidRDefault="00F5091C" w:rsidP="00E6478B">
      <w:pPr>
        <w:jc w:val="both"/>
        <w:rPr>
          <w:sz w:val="22"/>
          <w:szCs w:val="22"/>
        </w:rPr>
      </w:pPr>
      <w:r>
        <w:rPr>
          <w:sz w:val="22"/>
          <w:szCs w:val="22"/>
        </w:rPr>
        <w:t>Téma odpovídá možnostem bakalářské práce,</w:t>
      </w:r>
      <w:r w:rsidR="00792EA5">
        <w:rPr>
          <w:sz w:val="22"/>
          <w:szCs w:val="22"/>
        </w:rPr>
        <w:t xml:space="preserve"> </w:t>
      </w:r>
      <w:r>
        <w:rPr>
          <w:sz w:val="22"/>
          <w:szCs w:val="22"/>
        </w:rPr>
        <w:t>v Úvodu je představen zkoumaný materiál, metoda zkoumání i struktura předkládan</w:t>
      </w:r>
      <w:r w:rsidR="00073631">
        <w:rPr>
          <w:sz w:val="22"/>
          <w:szCs w:val="22"/>
        </w:rPr>
        <w:t>ého textu</w:t>
      </w:r>
      <w:r>
        <w:rPr>
          <w:sz w:val="22"/>
          <w:szCs w:val="22"/>
        </w:rPr>
        <w:t>.</w:t>
      </w:r>
    </w:p>
    <w:p w14:paraId="2688A256" w14:textId="77777777" w:rsidR="00F5091C" w:rsidRDefault="00F5091C">
      <w:pPr>
        <w:rPr>
          <w:sz w:val="22"/>
          <w:szCs w:val="22"/>
        </w:rPr>
      </w:pPr>
    </w:p>
    <w:p w14:paraId="4689DFC6" w14:textId="77777777" w:rsidR="00C02989" w:rsidRDefault="00877CBF"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927A65" w14:paraId="58D8B2B7" w14:textId="77777777">
        <w:trPr>
          <w:trHeight w:val="276"/>
        </w:trPr>
        <w:tc>
          <w:tcPr>
            <w:tcW w:w="1151" w:type="dxa"/>
            <w:shd w:val="clear" w:color="auto" w:fill="auto"/>
          </w:tcPr>
          <w:p w14:paraId="325A974E" w14:textId="6F0A431A" w:rsidR="00C02989" w:rsidRDefault="00F5091C">
            <w:pPr>
              <w:pStyle w:val="Obsahtabulky"/>
              <w:snapToGrid w:val="0"/>
            </w:pPr>
            <w:r>
              <w:t>4</w:t>
            </w:r>
          </w:p>
        </w:tc>
      </w:tr>
    </w:tbl>
    <w:p w14:paraId="2B3A9F57" w14:textId="77777777" w:rsidR="00C02989" w:rsidRDefault="00C02989">
      <w:pPr>
        <w:rPr>
          <w:sz w:val="22"/>
          <w:szCs w:val="22"/>
        </w:rPr>
      </w:pPr>
    </w:p>
    <w:p w14:paraId="2248701E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5DD2873" w14:textId="77777777" w:rsidR="00C02989" w:rsidRDefault="00C02989">
      <w:pPr>
        <w:rPr>
          <w:sz w:val="22"/>
          <w:szCs w:val="22"/>
        </w:rPr>
      </w:pPr>
    </w:p>
    <w:p w14:paraId="77D71737" w14:textId="133244CD" w:rsidR="00C02989" w:rsidRDefault="00F5091C" w:rsidP="00E6478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Vymezení v Úvodu práce naznačuje, že autorku </w:t>
      </w:r>
      <w:r w:rsidR="00792EA5">
        <w:rPr>
          <w:sz w:val="22"/>
          <w:szCs w:val="22"/>
        </w:rPr>
        <w:t xml:space="preserve">zřejmě </w:t>
      </w:r>
      <w:r>
        <w:rPr>
          <w:sz w:val="22"/>
          <w:szCs w:val="22"/>
        </w:rPr>
        <w:t>oslovuje víc zobrazovaná skutečnost než způsoby zobrazení, což se následně promítá do zpracování</w:t>
      </w:r>
      <w:r w:rsidR="00943434">
        <w:rPr>
          <w:sz w:val="22"/>
          <w:szCs w:val="22"/>
        </w:rPr>
        <w:t xml:space="preserve"> </w:t>
      </w:r>
      <w:r w:rsidR="00A774AB">
        <w:rPr>
          <w:sz w:val="22"/>
          <w:szCs w:val="22"/>
        </w:rPr>
        <w:t xml:space="preserve">tématu </w:t>
      </w:r>
      <w:r w:rsidR="00943434">
        <w:rPr>
          <w:sz w:val="22"/>
          <w:szCs w:val="22"/>
        </w:rPr>
        <w:t>a interpretace, při níž dochází k</w:t>
      </w:r>
      <w:r w:rsidR="00943434" w:rsidRPr="00A356C2">
        <w:rPr>
          <w:sz w:val="22"/>
          <w:szCs w:val="22"/>
        </w:rPr>
        <w:t xml:space="preserve"> občasné</w:t>
      </w:r>
      <w:r w:rsidR="00943434">
        <w:rPr>
          <w:sz w:val="22"/>
          <w:szCs w:val="22"/>
        </w:rPr>
        <w:t>mu</w:t>
      </w:r>
      <w:r w:rsidR="00943434" w:rsidRPr="00A356C2">
        <w:rPr>
          <w:sz w:val="22"/>
          <w:szCs w:val="22"/>
        </w:rPr>
        <w:t xml:space="preserve"> sklouzávání do nadbytečné subjektivity namísto fakty podložené interpretace</w:t>
      </w:r>
      <w:r w:rsidR="00943434">
        <w:rPr>
          <w:sz w:val="22"/>
          <w:szCs w:val="22"/>
        </w:rPr>
        <w:t xml:space="preserve">. Přesto se stanovené cíle pisatelce víceméně daří naplnit, jakkoliv s ohledem na některé problémy </w:t>
      </w:r>
      <w:r w:rsidR="00A774AB">
        <w:rPr>
          <w:sz w:val="22"/>
          <w:szCs w:val="22"/>
        </w:rPr>
        <w:t>zpracování</w:t>
      </w:r>
      <w:r w:rsidR="00943434">
        <w:rPr>
          <w:sz w:val="22"/>
          <w:szCs w:val="22"/>
        </w:rPr>
        <w:t xml:space="preserve"> (viz následující bod posudku) jen částečně. </w:t>
      </w:r>
    </w:p>
    <w:p w14:paraId="36925693" w14:textId="77777777" w:rsidR="00A356C2" w:rsidRDefault="00A356C2" w:rsidP="00A356C2">
      <w:pPr>
        <w:rPr>
          <w:sz w:val="22"/>
          <w:szCs w:val="22"/>
        </w:rPr>
      </w:pPr>
    </w:p>
    <w:p w14:paraId="284081A4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927A65" w14:paraId="01B188AD" w14:textId="77777777">
        <w:trPr>
          <w:trHeight w:val="276"/>
        </w:trPr>
        <w:tc>
          <w:tcPr>
            <w:tcW w:w="1142" w:type="dxa"/>
            <w:shd w:val="clear" w:color="auto" w:fill="auto"/>
          </w:tcPr>
          <w:p w14:paraId="4DBA2780" w14:textId="11128876" w:rsidR="00C02989" w:rsidRDefault="00943434">
            <w:pPr>
              <w:pStyle w:val="Obsahtabulky"/>
              <w:snapToGrid w:val="0"/>
            </w:pPr>
            <w:r>
              <w:t>3</w:t>
            </w:r>
          </w:p>
        </w:tc>
      </w:tr>
    </w:tbl>
    <w:p w14:paraId="3E3B4947" w14:textId="77777777" w:rsidR="00C02989" w:rsidRDefault="00C02989">
      <w:pPr>
        <w:ind w:left="-720"/>
        <w:rPr>
          <w:sz w:val="22"/>
          <w:szCs w:val="22"/>
        </w:rPr>
      </w:pPr>
    </w:p>
    <w:p w14:paraId="0376F2F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0498C4ED" w14:textId="77777777" w:rsidR="00C02989" w:rsidRDefault="00C02989">
      <w:pPr>
        <w:rPr>
          <w:sz w:val="22"/>
          <w:szCs w:val="22"/>
        </w:rPr>
      </w:pPr>
    </w:p>
    <w:p w14:paraId="6CD36E8F" w14:textId="79A0F293" w:rsidR="00A774AB" w:rsidRDefault="00A774AB" w:rsidP="00E6478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Jedním ze základních problémů textu je nedostatečné vymezení odlišné intence jednotlivých děl v závislosti na povaze fikce a dokumentu. </w:t>
      </w:r>
      <w:r w:rsidR="00E6478B">
        <w:rPr>
          <w:sz w:val="22"/>
          <w:szCs w:val="22"/>
        </w:rPr>
        <w:t>Pisatelka sice vymezuje odlišné žánrové kategorie, ale ne zcela jednoznačně a pojmově přesně, proto je následně</w:t>
      </w:r>
      <w:r w:rsidR="00792EA5">
        <w:rPr>
          <w:sz w:val="22"/>
          <w:szCs w:val="22"/>
        </w:rPr>
        <w:t xml:space="preserve"> např. </w:t>
      </w:r>
      <w:r w:rsidR="00E6478B">
        <w:rPr>
          <w:sz w:val="22"/>
          <w:szCs w:val="22"/>
        </w:rPr>
        <w:t xml:space="preserve">problematické, když řadí dokumentární </w:t>
      </w:r>
      <w:r w:rsidR="00792EA5">
        <w:rPr>
          <w:sz w:val="22"/>
          <w:szCs w:val="22"/>
        </w:rPr>
        <w:t>rozhovor</w:t>
      </w:r>
      <w:r w:rsidR="00E6478B">
        <w:rPr>
          <w:sz w:val="22"/>
          <w:szCs w:val="22"/>
        </w:rPr>
        <w:t xml:space="preserve"> mezi ego</w:t>
      </w:r>
      <w:r w:rsidR="00792EA5">
        <w:rPr>
          <w:sz w:val="22"/>
          <w:szCs w:val="22"/>
        </w:rPr>
        <w:t xml:space="preserve"> </w:t>
      </w:r>
      <w:r w:rsidR="00E6478B">
        <w:rPr>
          <w:sz w:val="22"/>
          <w:szCs w:val="22"/>
        </w:rPr>
        <w:t xml:space="preserve">dokumenty, jež </w:t>
      </w:r>
      <w:r w:rsidR="00E6478B" w:rsidRPr="00A356C2">
        <w:rPr>
          <w:sz w:val="22"/>
          <w:szCs w:val="22"/>
        </w:rPr>
        <w:t>vymezuje jako texty</w:t>
      </w:r>
      <w:r w:rsidR="00E6478B">
        <w:rPr>
          <w:sz w:val="22"/>
          <w:szCs w:val="22"/>
        </w:rPr>
        <w:t>,</w:t>
      </w:r>
      <w:r w:rsidR="00E6478B" w:rsidRPr="00A356C2">
        <w:rPr>
          <w:sz w:val="22"/>
          <w:szCs w:val="22"/>
        </w:rPr>
        <w:t xml:space="preserve"> které obvykle nevznikají pro veřejnost</w:t>
      </w:r>
      <w:r w:rsidR="00E6478B">
        <w:rPr>
          <w:sz w:val="22"/>
          <w:szCs w:val="22"/>
        </w:rPr>
        <w:t xml:space="preserve"> (s. 10), nebo píše o ověřování pravdivosti (s. 8.), aniž by vymezila vztah k fikci.</w:t>
      </w:r>
    </w:p>
    <w:p w14:paraId="5F864DA8" w14:textId="171B4EA8" w:rsidR="00E6478B" w:rsidRPr="00A356C2" w:rsidRDefault="00E6478B" w:rsidP="00E6478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praktické části by </w:t>
      </w:r>
      <w:r w:rsidRPr="00A356C2">
        <w:rPr>
          <w:sz w:val="22"/>
          <w:szCs w:val="22"/>
        </w:rPr>
        <w:t>bylo možné ještě víc prohloubit způsob t</w:t>
      </w:r>
      <w:r>
        <w:rPr>
          <w:sz w:val="22"/>
          <w:szCs w:val="22"/>
        </w:rPr>
        <w:t>e</w:t>
      </w:r>
      <w:r w:rsidRPr="00A356C2">
        <w:rPr>
          <w:sz w:val="22"/>
          <w:szCs w:val="22"/>
        </w:rPr>
        <w:t xml:space="preserve">matizace strachu, protože s ohledem na ne vždy úplně </w:t>
      </w:r>
      <w:r>
        <w:rPr>
          <w:sz w:val="22"/>
          <w:szCs w:val="22"/>
        </w:rPr>
        <w:t>beletris</w:t>
      </w:r>
      <w:r w:rsidRPr="00A356C2">
        <w:rPr>
          <w:sz w:val="22"/>
          <w:szCs w:val="22"/>
        </w:rPr>
        <w:t xml:space="preserve">tickou </w:t>
      </w:r>
      <w:r>
        <w:rPr>
          <w:sz w:val="22"/>
          <w:szCs w:val="22"/>
        </w:rPr>
        <w:t xml:space="preserve">povahu textů někdy </w:t>
      </w:r>
      <w:r w:rsidRPr="00A356C2">
        <w:rPr>
          <w:sz w:val="22"/>
          <w:szCs w:val="22"/>
        </w:rPr>
        <w:t>motiv</w:t>
      </w:r>
      <w:r>
        <w:rPr>
          <w:sz w:val="22"/>
          <w:szCs w:val="22"/>
        </w:rPr>
        <w:t>i</w:t>
      </w:r>
      <w:r w:rsidRPr="00A356C2">
        <w:rPr>
          <w:sz w:val="22"/>
          <w:szCs w:val="22"/>
        </w:rPr>
        <w:t>cká analýza sklouzává spíše k popi</w:t>
      </w:r>
      <w:r>
        <w:rPr>
          <w:sz w:val="22"/>
          <w:szCs w:val="22"/>
        </w:rPr>
        <w:t>su</w:t>
      </w:r>
      <w:r w:rsidRPr="00A356C2">
        <w:rPr>
          <w:sz w:val="22"/>
          <w:szCs w:val="22"/>
        </w:rPr>
        <w:t xml:space="preserve"> fungování totalitního režimu</w:t>
      </w:r>
      <w:r>
        <w:rPr>
          <w:sz w:val="22"/>
          <w:szCs w:val="22"/>
        </w:rPr>
        <w:t>.</w:t>
      </w:r>
    </w:p>
    <w:p w14:paraId="64C11D69" w14:textId="37ABB71A" w:rsidR="00A356C2" w:rsidRPr="00A356C2" w:rsidRDefault="00E6478B" w:rsidP="00A356C2">
      <w:pPr>
        <w:rPr>
          <w:sz w:val="22"/>
          <w:szCs w:val="22"/>
        </w:rPr>
      </w:pPr>
      <w:r>
        <w:rPr>
          <w:sz w:val="22"/>
          <w:szCs w:val="22"/>
        </w:rPr>
        <w:t>K drobnějším chybám pak patří, že při představování autorů by bylo vhodné popsat dostupnost zdrojů a při čerpání z</w:t>
      </w:r>
      <w:r w:rsidR="00A356C2" w:rsidRPr="00A356C2">
        <w:rPr>
          <w:sz w:val="22"/>
          <w:szCs w:val="22"/>
        </w:rPr>
        <w:t xml:space="preserve"> přebalu knihy </w:t>
      </w:r>
      <w:r>
        <w:rPr>
          <w:sz w:val="22"/>
          <w:szCs w:val="22"/>
        </w:rPr>
        <w:t xml:space="preserve">nebo </w:t>
      </w:r>
      <w:r w:rsidR="00A356C2" w:rsidRPr="00A356C2">
        <w:rPr>
          <w:sz w:val="22"/>
          <w:szCs w:val="22"/>
        </w:rPr>
        <w:t>osobní</w:t>
      </w:r>
      <w:r>
        <w:rPr>
          <w:sz w:val="22"/>
          <w:szCs w:val="22"/>
        </w:rPr>
        <w:t>ch</w:t>
      </w:r>
      <w:r w:rsidR="00A356C2" w:rsidRPr="00A356C2">
        <w:rPr>
          <w:sz w:val="22"/>
          <w:szCs w:val="22"/>
        </w:rPr>
        <w:t xml:space="preserve"> strán</w:t>
      </w:r>
      <w:r>
        <w:rPr>
          <w:sz w:val="22"/>
          <w:szCs w:val="22"/>
        </w:rPr>
        <w:t>ek</w:t>
      </w:r>
      <w:r w:rsidR="00A356C2" w:rsidRPr="00A356C2">
        <w:rPr>
          <w:sz w:val="22"/>
          <w:szCs w:val="22"/>
        </w:rPr>
        <w:t xml:space="preserve"> autora </w:t>
      </w:r>
      <w:r>
        <w:rPr>
          <w:sz w:val="22"/>
          <w:szCs w:val="22"/>
        </w:rPr>
        <w:t>provést kritiku pramenů.</w:t>
      </w:r>
    </w:p>
    <w:p w14:paraId="726343AD" w14:textId="77777777" w:rsidR="00A356C2" w:rsidRDefault="00A356C2">
      <w:pPr>
        <w:rPr>
          <w:sz w:val="22"/>
          <w:szCs w:val="22"/>
        </w:rPr>
      </w:pPr>
    </w:p>
    <w:p w14:paraId="312F20F8" w14:textId="77777777" w:rsidR="00C02989" w:rsidRDefault="00877CBF">
      <w:r>
        <w:lastRenderedPageBreak/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927A65" w14:paraId="123443C0" w14:textId="77777777">
        <w:trPr>
          <w:trHeight w:val="276"/>
        </w:trPr>
        <w:tc>
          <w:tcPr>
            <w:tcW w:w="1142" w:type="dxa"/>
            <w:shd w:val="clear" w:color="auto" w:fill="auto"/>
          </w:tcPr>
          <w:p w14:paraId="78108D27" w14:textId="6668F9A2" w:rsidR="00C02989" w:rsidRDefault="00E6478B">
            <w:pPr>
              <w:pStyle w:val="Obsahtabulky"/>
              <w:snapToGrid w:val="0"/>
            </w:pPr>
            <w:r>
              <w:t>3</w:t>
            </w:r>
          </w:p>
        </w:tc>
      </w:tr>
    </w:tbl>
    <w:p w14:paraId="44254F88" w14:textId="77777777" w:rsidR="00E6478B" w:rsidRDefault="00E6478B">
      <w:pPr>
        <w:rPr>
          <w:b/>
          <w:bCs/>
          <w:sz w:val="22"/>
          <w:szCs w:val="22"/>
        </w:rPr>
      </w:pPr>
    </w:p>
    <w:p w14:paraId="6A9FF7EA" w14:textId="7C2C221B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C02989" w:rsidRDefault="00C02989">
      <w:pPr>
        <w:rPr>
          <w:sz w:val="22"/>
          <w:szCs w:val="22"/>
        </w:rPr>
      </w:pPr>
    </w:p>
    <w:p w14:paraId="65C26A1D" w14:textId="10256BE5" w:rsidR="00C02989" w:rsidRDefault="00A774AB" w:rsidP="00E6478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Text se úspěšně blíží odbornému stylu, pisatelka poměrně dobře formuluje, jazykové chyby v práci najdeme spíše výjimečně. </w:t>
      </w:r>
    </w:p>
    <w:p w14:paraId="4C68B369" w14:textId="69844953" w:rsidR="00A356C2" w:rsidRPr="00A356C2" w:rsidRDefault="00A774AB" w:rsidP="00E6478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Citační norma byla (až na drobné </w:t>
      </w:r>
      <w:r w:rsidR="00E6478B">
        <w:rPr>
          <w:sz w:val="22"/>
          <w:szCs w:val="22"/>
        </w:rPr>
        <w:t>odchylky</w:t>
      </w:r>
      <w:r>
        <w:rPr>
          <w:sz w:val="22"/>
          <w:szCs w:val="22"/>
        </w:rPr>
        <w:t xml:space="preserve"> v odkazech pod čarou) dodržena.</w:t>
      </w:r>
    </w:p>
    <w:p w14:paraId="7132F307" w14:textId="77777777" w:rsidR="00A356C2" w:rsidRDefault="00A356C2" w:rsidP="00A356C2">
      <w:pPr>
        <w:rPr>
          <w:sz w:val="22"/>
          <w:szCs w:val="22"/>
        </w:rPr>
      </w:pPr>
    </w:p>
    <w:p w14:paraId="4CA552F8" w14:textId="77777777" w:rsidR="00C02989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927A65" w14:paraId="01B56F0D" w14:textId="77777777">
        <w:trPr>
          <w:trHeight w:val="276"/>
        </w:trPr>
        <w:tc>
          <w:tcPr>
            <w:tcW w:w="1142" w:type="dxa"/>
            <w:shd w:val="clear" w:color="auto" w:fill="auto"/>
          </w:tcPr>
          <w:p w14:paraId="7D6CC709" w14:textId="06A8F31B" w:rsidR="00C02989" w:rsidRDefault="00A774AB">
            <w:pPr>
              <w:pStyle w:val="Obsahtabulky"/>
              <w:snapToGrid w:val="0"/>
            </w:pPr>
            <w:r>
              <w:t>4</w:t>
            </w:r>
          </w:p>
        </w:tc>
      </w:tr>
    </w:tbl>
    <w:p w14:paraId="534EA2BC" w14:textId="77777777" w:rsidR="00C02989" w:rsidRDefault="00C02989"/>
    <w:p w14:paraId="0AC5E65C" w14:textId="77777777" w:rsidR="00C02989" w:rsidRDefault="00C02989">
      <w:pPr>
        <w:rPr>
          <w:b/>
          <w:bCs/>
          <w:sz w:val="22"/>
          <w:szCs w:val="22"/>
        </w:rPr>
      </w:pPr>
    </w:p>
    <w:p w14:paraId="652305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0B9CB448" w14:textId="77777777" w:rsidR="00C02989" w:rsidRDefault="00C02989">
      <w:pPr>
        <w:rPr>
          <w:sz w:val="22"/>
          <w:szCs w:val="22"/>
        </w:rPr>
      </w:pPr>
    </w:p>
    <w:p w14:paraId="15BCF51E" w14:textId="05810BDA" w:rsidR="00C02989" w:rsidRDefault="00792EA5" w:rsidP="00792EA5">
      <w:pPr>
        <w:jc w:val="both"/>
        <w:rPr>
          <w:sz w:val="22"/>
          <w:szCs w:val="22"/>
        </w:rPr>
      </w:pPr>
      <w:r>
        <w:rPr>
          <w:sz w:val="22"/>
          <w:szCs w:val="22"/>
        </w:rPr>
        <w:t>Na s. 51 uvádíte, že „osobnější pohled na prožívání strachu“ najdeme spíše v autobiografiích než v knihách založených na rozhovorech. V čem je autobiografie osobnější než rozhovor?</w:t>
      </w:r>
    </w:p>
    <w:p w14:paraId="0040611B" w14:textId="77777777" w:rsidR="00792EA5" w:rsidRDefault="00792EA5" w:rsidP="00792EA5">
      <w:pPr>
        <w:jc w:val="both"/>
        <w:rPr>
          <w:sz w:val="22"/>
          <w:szCs w:val="22"/>
        </w:rPr>
      </w:pPr>
    </w:p>
    <w:p w14:paraId="301049F5" w14:textId="557E76AB" w:rsidR="00792EA5" w:rsidRDefault="00E6478B" w:rsidP="00792EA5">
      <w:pPr>
        <w:jc w:val="both"/>
        <w:rPr>
          <w:sz w:val="22"/>
          <w:szCs w:val="22"/>
        </w:rPr>
      </w:pPr>
      <w:r w:rsidRPr="00A356C2">
        <w:rPr>
          <w:sz w:val="22"/>
          <w:szCs w:val="22"/>
        </w:rPr>
        <w:t>Na s</w:t>
      </w:r>
      <w:r w:rsidR="00792EA5">
        <w:rPr>
          <w:sz w:val="22"/>
          <w:szCs w:val="22"/>
        </w:rPr>
        <w:t>.</w:t>
      </w:r>
      <w:r w:rsidRPr="00A356C2">
        <w:rPr>
          <w:sz w:val="22"/>
          <w:szCs w:val="22"/>
        </w:rPr>
        <w:t xml:space="preserve"> 52 </w:t>
      </w:r>
      <w:r w:rsidR="00792EA5">
        <w:rPr>
          <w:sz w:val="22"/>
          <w:szCs w:val="22"/>
        </w:rPr>
        <w:t>píšete: „</w:t>
      </w:r>
      <w:r w:rsidR="00792EA5" w:rsidRPr="00792EA5">
        <w:rPr>
          <w:sz w:val="22"/>
          <w:szCs w:val="22"/>
        </w:rPr>
        <w:t>Z analýzy jazyka jednotlivých textů tedy vyplývá, že autenticita není vázaná pouze na faktografickou přesnost.</w:t>
      </w:r>
      <w:r w:rsidR="00792EA5">
        <w:rPr>
          <w:sz w:val="22"/>
          <w:szCs w:val="22"/>
        </w:rPr>
        <w:t>“ Jakým způsobem vymezujete autenticitu?</w:t>
      </w:r>
    </w:p>
    <w:p w14:paraId="12F1A0A6" w14:textId="77777777" w:rsidR="00792EA5" w:rsidRDefault="00792EA5">
      <w:pPr>
        <w:rPr>
          <w:sz w:val="22"/>
          <w:szCs w:val="22"/>
        </w:rPr>
      </w:pPr>
    </w:p>
    <w:p w14:paraId="38E3C3A8" w14:textId="77777777" w:rsidR="00C02989" w:rsidRDefault="00C02989">
      <w:pPr>
        <w:rPr>
          <w:sz w:val="22"/>
          <w:szCs w:val="22"/>
        </w:rPr>
      </w:pPr>
    </w:p>
    <w:p w14:paraId="14D5D93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C02989" w:rsidRDefault="00C02989">
      <w:pPr>
        <w:rPr>
          <w:sz w:val="22"/>
          <w:szCs w:val="22"/>
        </w:rPr>
      </w:pPr>
    </w:p>
    <w:p w14:paraId="5A025C75" w14:textId="68A650C9" w:rsidR="00C02989" w:rsidRDefault="00792EA5">
      <w:pPr>
        <w:rPr>
          <w:sz w:val="22"/>
          <w:szCs w:val="22"/>
        </w:rPr>
      </w:pPr>
      <w:r>
        <w:rPr>
          <w:sz w:val="22"/>
          <w:szCs w:val="22"/>
        </w:rPr>
        <w:t>Práci doporučuji k obhajobě.</w:t>
      </w:r>
    </w:p>
    <w:p w14:paraId="085E5626" w14:textId="77777777" w:rsidR="00C02989" w:rsidRDefault="00C02989">
      <w:pPr>
        <w:rPr>
          <w:b/>
          <w:bCs/>
          <w:sz w:val="22"/>
          <w:szCs w:val="22"/>
        </w:rPr>
      </w:pPr>
    </w:p>
    <w:p w14:paraId="261BA9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C02989" w:rsidRDefault="00C02989">
      <w:pPr>
        <w:rPr>
          <w:sz w:val="22"/>
          <w:szCs w:val="22"/>
        </w:rPr>
      </w:pPr>
    </w:p>
    <w:p w14:paraId="012D111E" w14:textId="7F033D67" w:rsidR="00C02989" w:rsidRDefault="00792EA5">
      <w:pPr>
        <w:rPr>
          <w:sz w:val="22"/>
          <w:szCs w:val="22"/>
        </w:rPr>
      </w:pPr>
      <w:r>
        <w:rPr>
          <w:sz w:val="22"/>
          <w:szCs w:val="22"/>
        </w:rPr>
        <w:t xml:space="preserve">S ohledem na bodové hodnocení (14 b.) navrhuji klasifikovat stupněm </w:t>
      </w:r>
      <w:r w:rsidRPr="00792EA5">
        <w:rPr>
          <w:b/>
          <w:bCs/>
          <w:sz w:val="22"/>
          <w:szCs w:val="22"/>
        </w:rPr>
        <w:t>B – výborně mínus</w:t>
      </w:r>
      <w:r>
        <w:rPr>
          <w:sz w:val="22"/>
          <w:szCs w:val="22"/>
        </w:rPr>
        <w:t xml:space="preserve">. </w:t>
      </w:r>
    </w:p>
    <w:p w14:paraId="38F64D3E" w14:textId="77777777" w:rsidR="00C02989" w:rsidRDefault="00C02989">
      <w:pPr>
        <w:rPr>
          <w:sz w:val="22"/>
          <w:szCs w:val="22"/>
        </w:rPr>
      </w:pPr>
    </w:p>
    <w:p w14:paraId="5BFE16D8" w14:textId="77777777" w:rsidR="00C02989" w:rsidRDefault="00C02989">
      <w:pPr>
        <w:rPr>
          <w:sz w:val="22"/>
          <w:szCs w:val="22"/>
        </w:rPr>
      </w:pPr>
    </w:p>
    <w:p w14:paraId="3DBF412C" w14:textId="77777777" w:rsidR="00C02989" w:rsidRDefault="00C02989">
      <w:pPr>
        <w:rPr>
          <w:sz w:val="22"/>
          <w:szCs w:val="22"/>
        </w:rPr>
      </w:pPr>
    </w:p>
    <w:p w14:paraId="6D34139E" w14:textId="1FD10A05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792EA5">
        <w:rPr>
          <w:sz w:val="22"/>
          <w:szCs w:val="22"/>
        </w:rPr>
        <w:t xml:space="preserve"> 15. 5. 2025</w:t>
      </w:r>
    </w:p>
    <w:p w14:paraId="01E17E0D" w14:textId="77777777" w:rsidR="00C02989" w:rsidRDefault="00C02989">
      <w:pPr>
        <w:rPr>
          <w:sz w:val="22"/>
          <w:szCs w:val="22"/>
        </w:rPr>
      </w:pPr>
    </w:p>
    <w:p w14:paraId="42AD70B2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C02989" w:rsidRDefault="00C02989">
      <w:pPr>
        <w:rPr>
          <w:sz w:val="22"/>
          <w:szCs w:val="22"/>
        </w:rPr>
      </w:pPr>
    </w:p>
    <w:p w14:paraId="4A6E105C" w14:textId="77777777" w:rsidR="00C02989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C02989" w:rsidRDefault="00C02989">
      <w:pPr>
        <w:rPr>
          <w:sz w:val="20"/>
          <w:szCs w:val="20"/>
        </w:rPr>
      </w:pPr>
    </w:p>
    <w:p w14:paraId="0A759FE9" w14:textId="77777777" w:rsidR="00C02989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C02989" w:rsidRDefault="00C02989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927A65" w14:paraId="396BD471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3CF01884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shd w:val="clear" w:color="auto" w:fill="auto"/>
          </w:tcPr>
          <w:p w14:paraId="61E96208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shd w:val="clear" w:color="auto" w:fill="auto"/>
          </w:tcPr>
          <w:p w14:paraId="5162C431" w14:textId="77777777" w:rsidR="00C02989" w:rsidRDefault="00C02989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shd w:val="clear" w:color="auto" w:fill="auto"/>
          </w:tcPr>
          <w:p w14:paraId="550D6C3C" w14:textId="77777777" w:rsidR="00C02989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927A65" w14:paraId="3C098D95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72F3D504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shd w:val="clear" w:color="auto" w:fill="auto"/>
          </w:tcPr>
          <w:p w14:paraId="0F3FE9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shd w:val="clear" w:color="auto" w:fill="auto"/>
          </w:tcPr>
          <w:p w14:paraId="21F62E02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shd w:val="clear" w:color="auto" w:fill="auto"/>
          </w:tcPr>
          <w:p w14:paraId="7C4FC75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27A65" w14:paraId="10602AE0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63B7B8B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shd w:val="clear" w:color="auto" w:fill="auto"/>
          </w:tcPr>
          <w:p w14:paraId="1A3708E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shd w:val="clear" w:color="auto" w:fill="auto"/>
          </w:tcPr>
          <w:p w14:paraId="4C5E0C8B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shd w:val="clear" w:color="auto" w:fill="auto"/>
          </w:tcPr>
          <w:p w14:paraId="4F13FCE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27A65" w14:paraId="0C65CA8A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01201DF9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shd w:val="clear" w:color="auto" w:fill="auto"/>
          </w:tcPr>
          <w:p w14:paraId="482A8AF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shd w:val="clear" w:color="auto" w:fill="auto"/>
          </w:tcPr>
          <w:p w14:paraId="2322C1D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shd w:val="clear" w:color="auto" w:fill="auto"/>
          </w:tcPr>
          <w:p w14:paraId="0773F1D6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27A65" w14:paraId="037B808E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62E4F07F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shd w:val="clear" w:color="auto" w:fill="auto"/>
          </w:tcPr>
          <w:p w14:paraId="03EB15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shd w:val="clear" w:color="auto" w:fill="auto"/>
          </w:tcPr>
          <w:p w14:paraId="6CAD2F0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shd w:val="clear" w:color="auto" w:fill="auto"/>
          </w:tcPr>
          <w:p w14:paraId="4AF1EAB2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27A65" w14:paraId="694F3B6F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5F26821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shd w:val="clear" w:color="auto" w:fill="auto"/>
          </w:tcPr>
          <w:p w14:paraId="635AACA9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shd w:val="clear" w:color="auto" w:fill="auto"/>
          </w:tcPr>
          <w:p w14:paraId="289EC19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shd w:val="clear" w:color="auto" w:fill="auto"/>
          </w:tcPr>
          <w:p w14:paraId="6D756A6F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27A65" w14:paraId="0A346211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11D33BD3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shd w:val="clear" w:color="auto" w:fill="auto"/>
          </w:tcPr>
          <w:p w14:paraId="6FAAC758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shd w:val="clear" w:color="auto" w:fill="auto"/>
          </w:tcPr>
          <w:p w14:paraId="05AE75E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shd w:val="clear" w:color="auto" w:fill="auto"/>
          </w:tcPr>
          <w:p w14:paraId="10EEE1CA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C02989" w:rsidRDefault="00C02989">
      <w:pPr>
        <w:rPr>
          <w:sz w:val="22"/>
          <w:szCs w:val="22"/>
        </w:rPr>
      </w:pPr>
    </w:p>
    <w:p w14:paraId="4626FDFE" w14:textId="77777777" w:rsidR="00C02989" w:rsidRDefault="00C02989"/>
    <w:sectPr w:rsidR="00C0298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FBF73F" w14:textId="77777777" w:rsidR="00BE7C6E" w:rsidRDefault="00BE7C6E">
      <w:r>
        <w:separator/>
      </w:r>
    </w:p>
  </w:endnote>
  <w:endnote w:type="continuationSeparator" w:id="0">
    <w:p w14:paraId="4C8F52A6" w14:textId="77777777" w:rsidR="00BE7C6E" w:rsidRDefault="00BE7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A7A3FD" w14:textId="77777777" w:rsidR="00BE7C6E" w:rsidRDefault="00BE7C6E">
      <w:r>
        <w:separator/>
      </w:r>
    </w:p>
  </w:footnote>
  <w:footnote w:type="continuationSeparator" w:id="0">
    <w:p w14:paraId="38B8DB75" w14:textId="77777777" w:rsidR="00BE7C6E" w:rsidRDefault="00BE7C6E">
      <w:r>
        <w:continuationSeparator/>
      </w:r>
    </w:p>
  </w:footnote>
  <w:footnote w:id="1">
    <w:p w14:paraId="2144AC0B" w14:textId="77777777" w:rsidR="00C02989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239D0"/>
    <w:rsid w:val="00071201"/>
    <w:rsid w:val="00073631"/>
    <w:rsid w:val="000C5765"/>
    <w:rsid w:val="003469E9"/>
    <w:rsid w:val="00354A5B"/>
    <w:rsid w:val="004D4DE3"/>
    <w:rsid w:val="006220C4"/>
    <w:rsid w:val="00792EA5"/>
    <w:rsid w:val="00804BBE"/>
    <w:rsid w:val="00877CBF"/>
    <w:rsid w:val="00896D71"/>
    <w:rsid w:val="00927A65"/>
    <w:rsid w:val="00943434"/>
    <w:rsid w:val="00961A47"/>
    <w:rsid w:val="00A356C2"/>
    <w:rsid w:val="00A774AB"/>
    <w:rsid w:val="00AB1C66"/>
    <w:rsid w:val="00B07284"/>
    <w:rsid w:val="00BB5DC7"/>
    <w:rsid w:val="00BE7C6E"/>
    <w:rsid w:val="00BF479B"/>
    <w:rsid w:val="00C02989"/>
    <w:rsid w:val="00C95ACC"/>
    <w:rsid w:val="00CE2E80"/>
    <w:rsid w:val="00D6373D"/>
    <w:rsid w:val="00E6478B"/>
    <w:rsid w:val="00F50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0EC1A182-C22D-4E74-B952-79286ED08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styleId="Zhlav">
    <w:name w:val="header"/>
    <w:basedOn w:val="Normln"/>
    <w:link w:val="ZhlavChar"/>
    <w:uiPriority w:val="99"/>
    <w:unhideWhenUsed/>
    <w:rsid w:val="00A356C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A356C2"/>
    <w:rPr>
      <w:rFonts w:eastAsia="Arial Unicode MS"/>
      <w:kern w:val="1"/>
      <w:sz w:val="24"/>
      <w:szCs w:val="24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A356C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356C2"/>
    <w:rPr>
      <w:rFonts w:eastAsia="Arial Unicode MS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557</Words>
  <Characters>3290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dc:description/>
  <cp:lastModifiedBy>Korabkova Katerina</cp:lastModifiedBy>
  <cp:revision>2</cp:revision>
  <cp:lastPrinted>1899-12-31T23:00:00Z</cp:lastPrinted>
  <dcterms:created xsi:type="dcterms:W3CDTF">2025-05-16T09:41:00Z</dcterms:created>
  <dcterms:modified xsi:type="dcterms:W3CDTF">2025-05-16T09:41:00Z</dcterms:modified>
</cp:coreProperties>
</file>