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1C8E" w:rsidRPr="001A13C7" w:rsidRDefault="00F71C8E" w:rsidP="00F71C8E">
      <w:pPr>
        <w:ind w:left="-851" w:hanging="142"/>
        <w:jc w:val="center"/>
        <w:rPr>
          <w:sz w:val="22"/>
          <w:szCs w:val="22"/>
        </w:rPr>
      </w:pPr>
      <w:r w:rsidRPr="001A13C7">
        <w:rPr>
          <w:sz w:val="22"/>
          <w:szCs w:val="22"/>
        </w:rPr>
        <w:t>Univerzita Pardubice – Fakulta filozofická – Ústav historických věd</w:t>
      </w:r>
    </w:p>
    <w:p w:rsidR="00F71C8E" w:rsidRPr="001A13C7" w:rsidRDefault="00F71C8E" w:rsidP="00F71C8E">
      <w:pPr>
        <w:rPr>
          <w:sz w:val="22"/>
          <w:szCs w:val="22"/>
        </w:rPr>
      </w:pPr>
    </w:p>
    <w:p w:rsidR="00F71C8E" w:rsidRPr="001A13C7" w:rsidRDefault="00F71C8E" w:rsidP="00F71C8E">
      <w:pPr>
        <w:snapToGrid w:val="0"/>
        <w:rPr>
          <w:b/>
          <w:bCs/>
          <w:sz w:val="22"/>
          <w:szCs w:val="22"/>
        </w:rPr>
      </w:pPr>
      <w:r w:rsidRPr="001A13C7">
        <w:rPr>
          <w:b/>
          <w:bCs/>
          <w:sz w:val="22"/>
          <w:szCs w:val="22"/>
        </w:rPr>
        <w:t>Posudek vedoucího bakalářské práce – akademický rok 2017/2018</w:t>
      </w:r>
    </w:p>
    <w:p w:rsidR="00F71C8E" w:rsidRPr="001A13C7" w:rsidRDefault="00F71C8E" w:rsidP="00F71C8E">
      <w:pPr>
        <w:rPr>
          <w:sz w:val="22"/>
          <w:szCs w:val="22"/>
        </w:rPr>
      </w:pPr>
    </w:p>
    <w:p w:rsidR="00F71C8E" w:rsidRPr="001A13C7" w:rsidRDefault="00F71C8E" w:rsidP="00F71C8E">
      <w:pPr>
        <w:snapToGrid w:val="0"/>
        <w:spacing w:line="360" w:lineRule="auto"/>
        <w:rPr>
          <w:sz w:val="22"/>
          <w:szCs w:val="22"/>
        </w:rPr>
      </w:pPr>
      <w:r>
        <w:rPr>
          <w:sz w:val="22"/>
          <w:szCs w:val="22"/>
        </w:rPr>
        <w:t>Autor práce: Veronika Šubrtová</w:t>
      </w:r>
    </w:p>
    <w:p w:rsidR="00F71C8E" w:rsidRPr="001A13C7" w:rsidRDefault="00F71C8E" w:rsidP="00F71C8E">
      <w:pPr>
        <w:spacing w:line="360" w:lineRule="auto"/>
        <w:rPr>
          <w:sz w:val="22"/>
          <w:szCs w:val="22"/>
        </w:rPr>
      </w:pPr>
      <w:r w:rsidRPr="001A13C7">
        <w:rPr>
          <w:sz w:val="22"/>
          <w:szCs w:val="22"/>
        </w:rPr>
        <w:t>Studijní obor: Kulturní dějiny</w:t>
      </w:r>
    </w:p>
    <w:p w:rsidR="00F71C8E" w:rsidRDefault="00F71C8E" w:rsidP="00F71C8E">
      <w:pPr>
        <w:spacing w:line="360" w:lineRule="auto"/>
        <w:rPr>
          <w:sz w:val="22"/>
          <w:szCs w:val="22"/>
        </w:rPr>
      </w:pPr>
      <w:r w:rsidRPr="001A13C7">
        <w:rPr>
          <w:sz w:val="22"/>
          <w:szCs w:val="22"/>
        </w:rPr>
        <w:t xml:space="preserve">Název práce: </w:t>
      </w:r>
      <w:r w:rsidRPr="00F71C8E">
        <w:rPr>
          <w:sz w:val="22"/>
          <w:szCs w:val="22"/>
        </w:rPr>
        <w:t xml:space="preserve">Hodiny </w:t>
      </w:r>
      <w:proofErr w:type="spellStart"/>
      <w:r w:rsidRPr="00F71C8E">
        <w:rPr>
          <w:sz w:val="22"/>
          <w:szCs w:val="22"/>
        </w:rPr>
        <w:t>orlojové</w:t>
      </w:r>
      <w:proofErr w:type="spellEnd"/>
      <w:r w:rsidRPr="00F71C8E">
        <w:rPr>
          <w:sz w:val="22"/>
          <w:szCs w:val="22"/>
        </w:rPr>
        <w:t>. Proměna vztahu k času v pozdně středověkých českých zemích</w:t>
      </w:r>
    </w:p>
    <w:p w:rsidR="00F71C8E" w:rsidRPr="001A13C7" w:rsidRDefault="00F71C8E" w:rsidP="00F71C8E">
      <w:pPr>
        <w:spacing w:line="360" w:lineRule="auto"/>
        <w:rPr>
          <w:sz w:val="22"/>
          <w:szCs w:val="22"/>
        </w:rPr>
      </w:pPr>
      <w:r w:rsidRPr="001A13C7">
        <w:rPr>
          <w:sz w:val="22"/>
          <w:szCs w:val="22"/>
        </w:rPr>
        <w:t>Vedoucí práce: Doc. Mgr. Martin Čapský, Ph.D.</w:t>
      </w:r>
    </w:p>
    <w:p w:rsidR="00F71C8E" w:rsidRPr="001A13C7" w:rsidRDefault="00F71C8E" w:rsidP="00F71C8E">
      <w:pPr>
        <w:pBdr>
          <w:bottom w:val="single" w:sz="12" w:space="1" w:color="auto"/>
        </w:pBdr>
        <w:spacing w:line="360" w:lineRule="auto"/>
        <w:rPr>
          <w:sz w:val="22"/>
          <w:szCs w:val="22"/>
        </w:rPr>
      </w:pPr>
      <w:r w:rsidRPr="001A13C7">
        <w:rPr>
          <w:sz w:val="22"/>
          <w:szCs w:val="22"/>
        </w:rPr>
        <w:t>Oponent práce: Mgr. Kateřina Ptáčková, Ph.D.</w:t>
      </w:r>
    </w:p>
    <w:p w:rsidR="00F71C8E" w:rsidRPr="001A13C7" w:rsidRDefault="00F71C8E" w:rsidP="00F71C8E">
      <w:pPr>
        <w:rPr>
          <w:sz w:val="22"/>
          <w:szCs w:val="22"/>
        </w:rPr>
      </w:pPr>
    </w:p>
    <w:p w:rsidR="00F71C8E" w:rsidRPr="001A13C7" w:rsidRDefault="00F71C8E" w:rsidP="00F71C8E">
      <w:pPr>
        <w:rPr>
          <w:sz w:val="22"/>
          <w:szCs w:val="22"/>
        </w:rPr>
      </w:pPr>
      <w:r w:rsidRPr="001A13C7">
        <w:rPr>
          <w:b/>
          <w:bCs/>
          <w:sz w:val="22"/>
          <w:szCs w:val="22"/>
        </w:rPr>
        <w:t>I. Formulace cílů práce, metodologie</w:t>
      </w:r>
      <w:r w:rsidRPr="001A13C7">
        <w:rPr>
          <w:sz w:val="22"/>
          <w:szCs w:val="22"/>
        </w:rPr>
        <w:t xml:space="preserve"> </w:t>
      </w:r>
    </w:p>
    <w:p w:rsidR="00F71C8E" w:rsidRPr="001A13C7" w:rsidRDefault="00F71C8E" w:rsidP="00F71C8E">
      <w:pPr>
        <w:rPr>
          <w:sz w:val="22"/>
          <w:szCs w:val="22"/>
        </w:rPr>
      </w:pPr>
      <w:r w:rsidRPr="001A13C7">
        <w:rPr>
          <w:sz w:val="22"/>
          <w:szCs w:val="22"/>
        </w:rPr>
        <w:t>(adekvátnost formulace cílů, vymezení tématu odpovídající rozsahu BP, adekvátnost zvolené metodologie)</w:t>
      </w:r>
    </w:p>
    <w:p w:rsidR="00706249" w:rsidRDefault="00706249" w:rsidP="00F71C8E">
      <w:pPr>
        <w:rPr>
          <w:sz w:val="22"/>
          <w:szCs w:val="22"/>
        </w:rPr>
      </w:pPr>
    </w:p>
    <w:p w:rsidR="007379ED" w:rsidRPr="001A13C7" w:rsidRDefault="007379ED" w:rsidP="003C0209">
      <w:pPr>
        <w:jc w:val="both"/>
        <w:rPr>
          <w:sz w:val="22"/>
          <w:szCs w:val="22"/>
        </w:rPr>
      </w:pPr>
      <w:r>
        <w:rPr>
          <w:sz w:val="22"/>
          <w:szCs w:val="22"/>
        </w:rPr>
        <w:t>Veronika Šub</w:t>
      </w:r>
      <w:r w:rsidR="00033A82">
        <w:rPr>
          <w:sz w:val="22"/>
          <w:szCs w:val="22"/>
        </w:rPr>
        <w:t xml:space="preserve">rtová si zvolila téma, které se těší výraznější pozornosti v západoevropské </w:t>
      </w:r>
      <w:r w:rsidR="007D2DBD">
        <w:rPr>
          <w:sz w:val="22"/>
          <w:szCs w:val="22"/>
        </w:rPr>
        <w:t xml:space="preserve">než české </w:t>
      </w:r>
      <w:r w:rsidR="00033A82">
        <w:rPr>
          <w:sz w:val="22"/>
          <w:szCs w:val="22"/>
        </w:rPr>
        <w:t>historiografii.</w:t>
      </w:r>
      <w:r w:rsidR="00785FC9">
        <w:rPr>
          <w:sz w:val="22"/>
          <w:szCs w:val="22"/>
        </w:rPr>
        <w:t xml:space="preserve"> Jedná se současně o téma vysoce abstraktní a složité na uchopení.</w:t>
      </w:r>
      <w:r w:rsidR="00033A82">
        <w:rPr>
          <w:sz w:val="22"/>
          <w:szCs w:val="22"/>
        </w:rPr>
        <w:t xml:space="preserve"> Středoevropské příspěvky </w:t>
      </w:r>
      <w:r w:rsidR="00844B1E">
        <w:rPr>
          <w:sz w:val="22"/>
          <w:szCs w:val="22"/>
        </w:rPr>
        <w:t xml:space="preserve">vedené tímto směrem </w:t>
      </w:r>
      <w:r w:rsidR="00033A82">
        <w:rPr>
          <w:sz w:val="22"/>
          <w:szCs w:val="22"/>
        </w:rPr>
        <w:t xml:space="preserve">jsou limitovány spektrem a </w:t>
      </w:r>
      <w:r w:rsidR="00844B1E">
        <w:rPr>
          <w:sz w:val="22"/>
          <w:szCs w:val="22"/>
        </w:rPr>
        <w:t>stavem</w:t>
      </w:r>
      <w:r w:rsidR="00033A82">
        <w:rPr>
          <w:sz w:val="22"/>
          <w:szCs w:val="22"/>
        </w:rPr>
        <w:t xml:space="preserve"> pramenů a často jde spíše o sondy, které mají zhodnotit, zda se lze relevantně vyjádřit k některým otázkám nastoleným již zmíněnými západoevropskými historiky. Více než v jejich výzkumu jsou tak akcentovány „náhradní“ typy pramenů – například testamenty – dokládající alespoň okrajově vnímání času. Touto cestou šel například Tomáš Borovský nebo </w:t>
      </w:r>
      <w:r w:rsidR="00844B1E">
        <w:rPr>
          <w:sz w:val="22"/>
          <w:szCs w:val="22"/>
        </w:rPr>
        <w:t xml:space="preserve">polská badatelka </w:t>
      </w:r>
      <w:proofErr w:type="spellStart"/>
      <w:r w:rsidR="00033A82">
        <w:rPr>
          <w:sz w:val="22"/>
          <w:szCs w:val="22"/>
        </w:rPr>
        <w:t>Agnieszka</w:t>
      </w:r>
      <w:proofErr w:type="spellEnd"/>
      <w:r w:rsidR="00033A82">
        <w:rPr>
          <w:sz w:val="22"/>
          <w:szCs w:val="22"/>
        </w:rPr>
        <w:t xml:space="preserve"> </w:t>
      </w:r>
      <w:proofErr w:type="spellStart"/>
      <w:r w:rsidR="00033A82">
        <w:rPr>
          <w:sz w:val="22"/>
          <w:szCs w:val="22"/>
        </w:rPr>
        <w:t>Bartoszewicz</w:t>
      </w:r>
      <w:proofErr w:type="spellEnd"/>
      <w:r w:rsidR="00033A82">
        <w:rPr>
          <w:sz w:val="22"/>
          <w:szCs w:val="22"/>
        </w:rPr>
        <w:t xml:space="preserve">. </w:t>
      </w:r>
      <w:r w:rsidR="00844B1E">
        <w:rPr>
          <w:sz w:val="22"/>
          <w:szCs w:val="22"/>
        </w:rPr>
        <w:t xml:space="preserve">Rakouský historik </w:t>
      </w:r>
      <w:r w:rsidR="00033A82">
        <w:rPr>
          <w:sz w:val="22"/>
          <w:szCs w:val="22"/>
        </w:rPr>
        <w:t xml:space="preserve">Ferdinand </w:t>
      </w:r>
      <w:proofErr w:type="spellStart"/>
      <w:r w:rsidR="00033A82">
        <w:rPr>
          <w:sz w:val="22"/>
          <w:szCs w:val="22"/>
        </w:rPr>
        <w:t>Opll</w:t>
      </w:r>
      <w:proofErr w:type="spellEnd"/>
      <w:r w:rsidR="00033A82">
        <w:rPr>
          <w:sz w:val="22"/>
          <w:szCs w:val="22"/>
        </w:rPr>
        <w:t xml:space="preserve"> se</w:t>
      </w:r>
      <w:r w:rsidR="007D2DBD">
        <w:rPr>
          <w:sz w:val="22"/>
          <w:szCs w:val="22"/>
        </w:rPr>
        <w:t xml:space="preserve"> už</w:t>
      </w:r>
      <w:r w:rsidR="00033A82">
        <w:rPr>
          <w:sz w:val="22"/>
          <w:szCs w:val="22"/>
        </w:rPr>
        <w:t xml:space="preserve"> ve své práci opírající se o vídeňské, potažmo rakouské prameny mohl odkazovat na řemeslnické a tržní řády, které hledanou změnu zachycují mnohem výrazněji. Veronika Šubrtová </w:t>
      </w:r>
      <w:r w:rsidR="00844B1E">
        <w:rPr>
          <w:sz w:val="22"/>
          <w:szCs w:val="22"/>
        </w:rPr>
        <w:t>se pokusila</w:t>
      </w:r>
      <w:r w:rsidR="003C0209">
        <w:rPr>
          <w:sz w:val="22"/>
          <w:szCs w:val="22"/>
        </w:rPr>
        <w:t xml:space="preserve"> </w:t>
      </w:r>
      <w:r w:rsidR="00844B1E">
        <w:rPr>
          <w:sz w:val="22"/>
          <w:szCs w:val="22"/>
        </w:rPr>
        <w:t>spojit několik</w:t>
      </w:r>
      <w:r w:rsidR="003C0209">
        <w:rPr>
          <w:sz w:val="22"/>
          <w:szCs w:val="22"/>
        </w:rPr>
        <w:t xml:space="preserve"> </w:t>
      </w:r>
      <w:r w:rsidR="00844B1E">
        <w:rPr>
          <w:sz w:val="22"/>
          <w:szCs w:val="22"/>
        </w:rPr>
        <w:t>přístupů</w:t>
      </w:r>
      <w:r w:rsidR="003C0209">
        <w:rPr>
          <w:sz w:val="22"/>
          <w:szCs w:val="22"/>
        </w:rPr>
        <w:t xml:space="preserve">. V případě šlechtického prostředí (a zde také přináší nejzajímavější </w:t>
      </w:r>
      <w:r w:rsidR="00844B1E">
        <w:rPr>
          <w:sz w:val="22"/>
          <w:szCs w:val="22"/>
        </w:rPr>
        <w:t>závěry</w:t>
      </w:r>
      <w:r w:rsidR="003C0209">
        <w:rPr>
          <w:sz w:val="22"/>
          <w:szCs w:val="22"/>
        </w:rPr>
        <w:t>) se pokusila identifikovat změnu přístupu k času na základě zpřesnění genealogických údajů, která se u příslušníků vybraného vz</w:t>
      </w:r>
      <w:r w:rsidR="00844B1E">
        <w:rPr>
          <w:sz w:val="22"/>
          <w:szCs w:val="22"/>
        </w:rPr>
        <w:t>orku tří panských rodů projevilo</w:t>
      </w:r>
      <w:r w:rsidR="003C0209">
        <w:rPr>
          <w:sz w:val="22"/>
          <w:szCs w:val="22"/>
        </w:rPr>
        <w:t xml:space="preserve"> v poslední třetině 15. století. Ve zbývající části své bakalářské práce </w:t>
      </w:r>
      <w:r w:rsidR="00844B1E">
        <w:rPr>
          <w:sz w:val="22"/>
          <w:szCs w:val="22"/>
        </w:rPr>
        <w:t xml:space="preserve">se </w:t>
      </w:r>
      <w:r w:rsidR="003C0209">
        <w:rPr>
          <w:sz w:val="22"/>
          <w:szCs w:val="22"/>
        </w:rPr>
        <w:t xml:space="preserve">studentka </w:t>
      </w:r>
      <w:r w:rsidR="00844B1E">
        <w:rPr>
          <w:sz w:val="22"/>
          <w:szCs w:val="22"/>
        </w:rPr>
        <w:t xml:space="preserve">obrací k městskému prostředí. V textu </w:t>
      </w:r>
      <w:r w:rsidR="003C0209">
        <w:rPr>
          <w:sz w:val="22"/>
          <w:szCs w:val="22"/>
        </w:rPr>
        <w:t>představila závěry studie Tomáše Borovského vycházející p</w:t>
      </w:r>
      <w:r w:rsidR="00844B1E">
        <w:rPr>
          <w:sz w:val="22"/>
          <w:szCs w:val="22"/>
        </w:rPr>
        <w:t xml:space="preserve">ředevším z brněnských pramenů a doplnila je obecnější úvahou o  velké kulturní změně – nalezení kupeckého času a jeho vztahu k času církevnímu </w:t>
      </w:r>
      <w:r w:rsidR="003C0209">
        <w:rPr>
          <w:sz w:val="22"/>
          <w:szCs w:val="22"/>
        </w:rPr>
        <w:t xml:space="preserve">(J. </w:t>
      </w:r>
      <w:proofErr w:type="spellStart"/>
      <w:r w:rsidR="003C0209">
        <w:rPr>
          <w:sz w:val="22"/>
          <w:szCs w:val="22"/>
        </w:rPr>
        <w:t>Le</w:t>
      </w:r>
      <w:proofErr w:type="spellEnd"/>
      <w:r w:rsidR="003C0209">
        <w:rPr>
          <w:sz w:val="22"/>
          <w:szCs w:val="22"/>
        </w:rPr>
        <w:t xml:space="preserve"> </w:t>
      </w:r>
      <w:proofErr w:type="spellStart"/>
      <w:r w:rsidR="003C0209">
        <w:rPr>
          <w:sz w:val="22"/>
          <w:szCs w:val="22"/>
        </w:rPr>
        <w:t>Goff</w:t>
      </w:r>
      <w:proofErr w:type="spellEnd"/>
      <w:r w:rsidR="003C0209">
        <w:rPr>
          <w:sz w:val="22"/>
          <w:szCs w:val="22"/>
        </w:rPr>
        <w:t xml:space="preserve">). </w:t>
      </w:r>
      <w:r w:rsidR="00844B1E">
        <w:rPr>
          <w:sz w:val="22"/>
          <w:szCs w:val="22"/>
        </w:rPr>
        <w:t>Bakalářskou práci doplňují úvodní kapitoly věnované způsobům měření času v antice a ve středověku a shrnutí současných představ o vzniku a autorství pražského staroměstského orloj</w:t>
      </w:r>
      <w:r w:rsidR="00785FC9">
        <w:rPr>
          <w:sz w:val="22"/>
          <w:szCs w:val="22"/>
        </w:rPr>
        <w:t>e.</w:t>
      </w:r>
      <w:r w:rsidR="00844B1E">
        <w:rPr>
          <w:sz w:val="22"/>
          <w:szCs w:val="22"/>
        </w:rPr>
        <w:t xml:space="preserve"> </w:t>
      </w:r>
      <w:r w:rsidR="003C0209">
        <w:rPr>
          <w:sz w:val="22"/>
          <w:szCs w:val="22"/>
        </w:rPr>
        <w:t xml:space="preserve">Z představení práce ale současně vyplývá, že odevzdaný text je dosti eklektický a nevytváří celek spojený metodologií, pracovní metodou nebo důslednou pramennou heuristikou. </w:t>
      </w:r>
    </w:p>
    <w:p w:rsidR="00F71C8E" w:rsidRDefault="00F71C8E" w:rsidP="00F71C8E">
      <w:pPr>
        <w:jc w:val="both"/>
        <w:rPr>
          <w:sz w:val="22"/>
          <w:szCs w:val="22"/>
        </w:rPr>
      </w:pPr>
    </w:p>
    <w:p w:rsidR="00F71C8E" w:rsidRPr="001A13C7" w:rsidRDefault="00F71C8E" w:rsidP="00F71C8E">
      <w:pPr>
        <w:jc w:val="both"/>
        <w:rPr>
          <w:sz w:val="22"/>
          <w:szCs w:val="22"/>
        </w:rPr>
      </w:pPr>
    </w:p>
    <w:p w:rsidR="00F71C8E" w:rsidRPr="001A13C7" w:rsidRDefault="00F71C8E" w:rsidP="00F71C8E">
      <w:pPr>
        <w:rPr>
          <w:sz w:val="22"/>
          <w:szCs w:val="22"/>
        </w:rPr>
      </w:pPr>
      <w:r w:rsidRPr="001A13C7">
        <w:rPr>
          <w:sz w:val="22"/>
          <w:szCs w:val="22"/>
        </w:rPr>
        <w:t>známka</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46"/>
      </w:tblGrid>
      <w:tr w:rsidR="00F71C8E" w:rsidRPr="001A13C7" w:rsidTr="002E2067">
        <w:trPr>
          <w:trHeight w:val="276"/>
        </w:trPr>
        <w:tc>
          <w:tcPr>
            <w:tcW w:w="1146" w:type="dxa"/>
            <w:vMerge w:val="restart"/>
            <w:tcBorders>
              <w:top w:val="single" w:sz="2" w:space="0" w:color="000000"/>
              <w:left w:val="single" w:sz="2" w:space="0" w:color="000000"/>
              <w:bottom w:val="single" w:sz="2" w:space="0" w:color="000000"/>
              <w:right w:val="single" w:sz="2" w:space="0" w:color="000000"/>
            </w:tcBorders>
          </w:tcPr>
          <w:p w:rsidR="00F71C8E" w:rsidRPr="001A13C7" w:rsidRDefault="003C0209" w:rsidP="002E2067">
            <w:pPr>
              <w:pStyle w:val="Obsahtabulky"/>
              <w:snapToGrid w:val="0"/>
              <w:rPr>
                <w:sz w:val="22"/>
                <w:szCs w:val="22"/>
              </w:rPr>
            </w:pPr>
            <w:r>
              <w:rPr>
                <w:sz w:val="22"/>
                <w:szCs w:val="22"/>
              </w:rPr>
              <w:t>D</w:t>
            </w:r>
          </w:p>
        </w:tc>
      </w:tr>
    </w:tbl>
    <w:p w:rsidR="00F71C8E" w:rsidRPr="001A13C7" w:rsidRDefault="00F71C8E" w:rsidP="00F71C8E">
      <w:pPr>
        <w:rPr>
          <w:sz w:val="22"/>
          <w:szCs w:val="22"/>
        </w:rPr>
      </w:pPr>
    </w:p>
    <w:p w:rsidR="00F71C8E" w:rsidRPr="001A13C7" w:rsidRDefault="00F71C8E" w:rsidP="00F71C8E">
      <w:pPr>
        <w:rPr>
          <w:b/>
          <w:bCs/>
          <w:sz w:val="22"/>
          <w:szCs w:val="22"/>
        </w:rPr>
      </w:pPr>
    </w:p>
    <w:p w:rsidR="00F71C8E" w:rsidRPr="001A13C7" w:rsidRDefault="00F71C8E" w:rsidP="00F71C8E">
      <w:pPr>
        <w:rPr>
          <w:sz w:val="22"/>
          <w:szCs w:val="22"/>
        </w:rPr>
      </w:pPr>
      <w:r w:rsidRPr="001A13C7">
        <w:rPr>
          <w:b/>
          <w:bCs/>
          <w:sz w:val="22"/>
          <w:szCs w:val="22"/>
        </w:rPr>
        <w:t>II. Naplnění stanovených cílů</w:t>
      </w:r>
      <w:r w:rsidRPr="001A13C7">
        <w:rPr>
          <w:sz w:val="22"/>
          <w:szCs w:val="22"/>
        </w:rPr>
        <w:t xml:space="preserve"> </w:t>
      </w:r>
    </w:p>
    <w:p w:rsidR="00F71C8E" w:rsidRDefault="00F71C8E" w:rsidP="00F71C8E">
      <w:pPr>
        <w:rPr>
          <w:sz w:val="22"/>
          <w:szCs w:val="22"/>
        </w:rPr>
      </w:pPr>
      <w:r w:rsidRPr="001A13C7">
        <w:rPr>
          <w:sz w:val="22"/>
          <w:szCs w:val="22"/>
        </w:rPr>
        <w:t xml:space="preserve">(odpovídající zpracování a interpretace výsledků, závěry práce, diskuse práce /porovnání výsledků práce s výsledky dosavadních bádání k tématu/, autorský přínos práce) </w:t>
      </w:r>
    </w:p>
    <w:p w:rsidR="003C0209" w:rsidRDefault="003C0209" w:rsidP="00F71C8E">
      <w:pPr>
        <w:rPr>
          <w:sz w:val="22"/>
          <w:szCs w:val="22"/>
        </w:rPr>
      </w:pPr>
    </w:p>
    <w:p w:rsidR="00F71C8E" w:rsidRDefault="003C0209" w:rsidP="00F846B7">
      <w:pPr>
        <w:jc w:val="both"/>
        <w:rPr>
          <w:sz w:val="22"/>
          <w:szCs w:val="22"/>
        </w:rPr>
      </w:pPr>
      <w:r>
        <w:rPr>
          <w:sz w:val="22"/>
          <w:szCs w:val="22"/>
        </w:rPr>
        <w:t>Představená bakalářská práce je receptivní, opírá se o česky psanou nebo překladovou literaturu</w:t>
      </w:r>
      <w:r w:rsidR="0086001C">
        <w:rPr>
          <w:sz w:val="22"/>
          <w:szCs w:val="22"/>
        </w:rPr>
        <w:t>. Za pozitivní rys úsilí Veroniky Šubrtové lze považovat shrnutí aktuálního stavu bádání mapující různé typy vědeckých výstupů a jejich konf</w:t>
      </w:r>
      <w:r w:rsidR="00F846B7">
        <w:rPr>
          <w:sz w:val="22"/>
          <w:szCs w:val="22"/>
        </w:rPr>
        <w:t>rontaci (v případě šlechtického p</w:t>
      </w:r>
      <w:r w:rsidR="0086001C">
        <w:rPr>
          <w:sz w:val="22"/>
          <w:szCs w:val="22"/>
        </w:rPr>
        <w:t>rostředí)  </w:t>
      </w:r>
      <w:r w:rsidR="00F846B7">
        <w:rPr>
          <w:sz w:val="22"/>
          <w:szCs w:val="22"/>
        </w:rPr>
        <w:t xml:space="preserve">s </w:t>
      </w:r>
      <w:r w:rsidR="0086001C">
        <w:rPr>
          <w:sz w:val="22"/>
          <w:szCs w:val="22"/>
        </w:rPr>
        <w:t>prameny.  </w:t>
      </w:r>
      <w:r w:rsidR="00F846B7" w:rsidRPr="00F846B7">
        <w:t>V</w:t>
      </w:r>
      <w:r w:rsidR="00F846B7">
        <w:t xml:space="preserve"> </w:t>
      </w:r>
      <w:r w:rsidR="0086001C" w:rsidRPr="00F846B7">
        <w:t>představených</w:t>
      </w:r>
      <w:r w:rsidR="0086001C">
        <w:rPr>
          <w:sz w:val="22"/>
          <w:szCs w:val="22"/>
        </w:rPr>
        <w:t xml:space="preserve"> závěrech autorka zůstává závislá na shromážděné literatuře, byť je třeba vyzdvihnout, že její hodnocení nepřebírá mechanicky, ale snaží o zasazení těchto závěrů do konceptu kulturní změny.</w:t>
      </w:r>
    </w:p>
    <w:p w:rsidR="003C0209" w:rsidRDefault="003C0209" w:rsidP="00F71C8E">
      <w:pPr>
        <w:rPr>
          <w:sz w:val="22"/>
          <w:szCs w:val="22"/>
        </w:rPr>
      </w:pPr>
    </w:p>
    <w:p w:rsidR="003C0209" w:rsidRPr="001A13C7" w:rsidRDefault="003C0209" w:rsidP="00F71C8E">
      <w:pPr>
        <w:rPr>
          <w:sz w:val="22"/>
          <w:szCs w:val="22"/>
        </w:rPr>
      </w:pPr>
    </w:p>
    <w:p w:rsidR="00F71C8E" w:rsidRPr="001A13C7" w:rsidRDefault="00F71C8E" w:rsidP="00F71C8E">
      <w:pPr>
        <w:rPr>
          <w:sz w:val="22"/>
          <w:szCs w:val="22"/>
        </w:rPr>
      </w:pPr>
      <w:r w:rsidRPr="001A13C7">
        <w:rPr>
          <w:sz w:val="22"/>
          <w:szCs w:val="22"/>
        </w:rPr>
        <w:t>známka</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F71C8E" w:rsidRPr="001A13C7" w:rsidTr="002E2067">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F71C8E" w:rsidRPr="001A13C7" w:rsidRDefault="0086001C" w:rsidP="002E2067">
            <w:pPr>
              <w:pStyle w:val="Obsahtabulky"/>
              <w:snapToGrid w:val="0"/>
              <w:rPr>
                <w:sz w:val="22"/>
                <w:szCs w:val="22"/>
              </w:rPr>
            </w:pPr>
            <w:r>
              <w:rPr>
                <w:sz w:val="22"/>
                <w:szCs w:val="22"/>
              </w:rPr>
              <w:lastRenderedPageBreak/>
              <w:t>D</w:t>
            </w:r>
          </w:p>
        </w:tc>
      </w:tr>
    </w:tbl>
    <w:p w:rsidR="00F71C8E" w:rsidRPr="001A13C7" w:rsidRDefault="00F71C8E" w:rsidP="00F71C8E">
      <w:pPr>
        <w:rPr>
          <w:sz w:val="22"/>
          <w:szCs w:val="22"/>
        </w:rPr>
      </w:pPr>
    </w:p>
    <w:p w:rsidR="00F71C8E" w:rsidRPr="001A13C7" w:rsidRDefault="00F71C8E" w:rsidP="00F71C8E">
      <w:pPr>
        <w:ind w:left="-720"/>
        <w:rPr>
          <w:sz w:val="22"/>
          <w:szCs w:val="22"/>
        </w:rPr>
      </w:pPr>
    </w:p>
    <w:p w:rsidR="00F71C8E" w:rsidRPr="001A13C7" w:rsidRDefault="00F71C8E" w:rsidP="00F71C8E">
      <w:pPr>
        <w:rPr>
          <w:sz w:val="22"/>
          <w:szCs w:val="22"/>
        </w:rPr>
      </w:pPr>
      <w:r w:rsidRPr="001A13C7">
        <w:rPr>
          <w:b/>
          <w:bCs/>
          <w:sz w:val="22"/>
          <w:szCs w:val="22"/>
        </w:rPr>
        <w:t>III. Obsahové zpracování, přístup k řešení, řešení dílčích problémů</w:t>
      </w:r>
      <w:r w:rsidRPr="001A13C7">
        <w:rPr>
          <w:sz w:val="22"/>
          <w:szCs w:val="22"/>
        </w:rPr>
        <w:t xml:space="preserve"> </w:t>
      </w:r>
    </w:p>
    <w:p w:rsidR="00F71C8E" w:rsidRPr="001A13C7" w:rsidRDefault="00F71C8E" w:rsidP="00F71C8E">
      <w:pPr>
        <w:rPr>
          <w:sz w:val="22"/>
          <w:szCs w:val="22"/>
        </w:rPr>
      </w:pPr>
      <w:r w:rsidRPr="001A13C7">
        <w:rPr>
          <w:sz w:val="22"/>
          <w:szCs w:val="22"/>
        </w:rPr>
        <w:t xml:space="preserve">(struktura a </w:t>
      </w:r>
      <w:proofErr w:type="spellStart"/>
      <w:r w:rsidRPr="001A13C7">
        <w:rPr>
          <w:sz w:val="22"/>
          <w:szCs w:val="22"/>
        </w:rPr>
        <w:t>koheznost</w:t>
      </w:r>
      <w:proofErr w:type="spellEnd"/>
      <w:r w:rsidRPr="001A13C7">
        <w:rPr>
          <w:sz w:val="22"/>
          <w:szCs w:val="22"/>
        </w:rPr>
        <w:t xml:space="preserve"> práce, vhled do problematiky, využití relevantních odborných zdrojů, adekvátní pojmový aparát, praktická aplikace teoretického rámce, samostatnost zpracování)</w:t>
      </w:r>
    </w:p>
    <w:p w:rsidR="00F71C8E" w:rsidRPr="001A13C7" w:rsidRDefault="00F71C8E" w:rsidP="00F71C8E">
      <w:pPr>
        <w:rPr>
          <w:sz w:val="22"/>
          <w:szCs w:val="22"/>
        </w:rPr>
      </w:pPr>
    </w:p>
    <w:p w:rsidR="00F71C8E" w:rsidRDefault="0086001C" w:rsidP="00F71C8E">
      <w:pPr>
        <w:jc w:val="both"/>
        <w:rPr>
          <w:sz w:val="22"/>
          <w:szCs w:val="22"/>
        </w:rPr>
      </w:pPr>
      <w:r>
        <w:rPr>
          <w:sz w:val="22"/>
          <w:szCs w:val="22"/>
        </w:rPr>
        <w:t>Už bylo výše zmíněno, že bakalá</w:t>
      </w:r>
      <w:r w:rsidR="006A2DEA">
        <w:rPr>
          <w:sz w:val="22"/>
          <w:szCs w:val="22"/>
        </w:rPr>
        <w:t>řská práce Veroniky Šubrtové působí roztříštěným dojmem. Shromážděný materiál nespojuje ani aplikování</w:t>
      </w:r>
      <w:r>
        <w:rPr>
          <w:sz w:val="22"/>
          <w:szCs w:val="22"/>
        </w:rPr>
        <w:t xml:space="preserve"> </w:t>
      </w:r>
      <w:r w:rsidR="006A2DEA">
        <w:rPr>
          <w:sz w:val="22"/>
          <w:szCs w:val="22"/>
        </w:rPr>
        <w:t>společného interpretačního</w:t>
      </w:r>
      <w:r>
        <w:rPr>
          <w:sz w:val="22"/>
          <w:szCs w:val="22"/>
        </w:rPr>
        <w:t xml:space="preserve"> rámce. Příspěvky J. </w:t>
      </w:r>
      <w:proofErr w:type="spellStart"/>
      <w:r>
        <w:rPr>
          <w:sz w:val="22"/>
          <w:szCs w:val="22"/>
        </w:rPr>
        <w:t>Le</w:t>
      </w:r>
      <w:proofErr w:type="spellEnd"/>
      <w:r>
        <w:rPr>
          <w:sz w:val="22"/>
          <w:szCs w:val="22"/>
        </w:rPr>
        <w:t xml:space="preserve"> </w:t>
      </w:r>
      <w:proofErr w:type="spellStart"/>
      <w:r>
        <w:rPr>
          <w:sz w:val="22"/>
          <w:szCs w:val="22"/>
        </w:rPr>
        <w:t>Goffa</w:t>
      </w:r>
      <w:proofErr w:type="spellEnd"/>
      <w:r>
        <w:rPr>
          <w:sz w:val="22"/>
          <w:szCs w:val="22"/>
        </w:rPr>
        <w:t xml:space="preserve">, o které se autorka opírá v prostřední části </w:t>
      </w:r>
      <w:r w:rsidR="00AF3968">
        <w:rPr>
          <w:sz w:val="22"/>
          <w:szCs w:val="22"/>
        </w:rPr>
        <w:t xml:space="preserve">textu, </w:t>
      </w:r>
      <w:r w:rsidR="006A2DEA">
        <w:rPr>
          <w:sz w:val="22"/>
          <w:szCs w:val="22"/>
        </w:rPr>
        <w:t xml:space="preserve">však toto reziduum částečně nahrazují. Poukázání na podobnou </w:t>
      </w:r>
      <w:r w:rsidR="00AF3968">
        <w:rPr>
          <w:sz w:val="22"/>
          <w:szCs w:val="22"/>
        </w:rPr>
        <w:t xml:space="preserve">kulturní změnu </w:t>
      </w:r>
      <w:r w:rsidR="00501703">
        <w:rPr>
          <w:sz w:val="22"/>
          <w:szCs w:val="22"/>
        </w:rPr>
        <w:t>probíhající v západoevropském prostředí v době vrcholného středověku</w:t>
      </w:r>
      <w:r w:rsidR="006A2DEA">
        <w:rPr>
          <w:sz w:val="22"/>
          <w:szCs w:val="22"/>
        </w:rPr>
        <w:t xml:space="preserve"> v souvislosti s proměnou vztahu k času v kupecké vrstvě mohlo být ale zařazeno na začátku svazku. Předložená práce by působila konzistentněji a autorka se mohla snáze vracet k vybraným aspektům a srovnávat je se situací v českých zemích. </w:t>
      </w:r>
    </w:p>
    <w:p w:rsidR="006A2DEA" w:rsidRDefault="006A2DEA" w:rsidP="00A44247">
      <w:pPr>
        <w:jc w:val="both"/>
        <w:rPr>
          <w:sz w:val="22"/>
          <w:szCs w:val="22"/>
        </w:rPr>
      </w:pPr>
      <w:r>
        <w:rPr>
          <w:sz w:val="22"/>
          <w:szCs w:val="22"/>
        </w:rPr>
        <w:t>Samostatnou kapitolu hodnocení představuje pojmový aparát. Ačkoli se diplomantka vesměs opírá o použitou literaturu, na některých místech se dopouští chyb. Místo venkovanů/rolníků používá zavádějící termín „agrárníci“</w:t>
      </w:r>
      <w:r w:rsidR="00A44247">
        <w:rPr>
          <w:sz w:val="22"/>
          <w:szCs w:val="22"/>
        </w:rPr>
        <w:t xml:space="preserve"> (s. 5). Na téže straně pak „vztyčný“ místo „styčný“ bod. Zavádějící je rovněž tvrzení, že se radnice staly místem (po husitské revoluci) zasedání zemských soudů (s. 41). Není pravda, že Menší kronika žďárská je částí díla </w:t>
      </w:r>
      <w:proofErr w:type="spellStart"/>
      <w:r w:rsidR="00A44247">
        <w:rPr>
          <w:sz w:val="22"/>
          <w:szCs w:val="22"/>
        </w:rPr>
        <w:t>zv</w:t>
      </w:r>
      <w:proofErr w:type="spellEnd"/>
      <w:r w:rsidR="00A44247">
        <w:rPr>
          <w:sz w:val="22"/>
          <w:szCs w:val="22"/>
        </w:rPr>
        <w:t xml:space="preserve">. </w:t>
      </w:r>
      <w:proofErr w:type="spellStart"/>
      <w:r w:rsidR="00A44247" w:rsidRPr="00A44247">
        <w:rPr>
          <w:sz w:val="22"/>
          <w:szCs w:val="22"/>
        </w:rPr>
        <w:t>Cronica</w:t>
      </w:r>
      <w:proofErr w:type="spellEnd"/>
      <w:r w:rsidR="00A44247" w:rsidRPr="00A44247">
        <w:rPr>
          <w:sz w:val="22"/>
          <w:szCs w:val="22"/>
        </w:rPr>
        <w:t xml:space="preserve"> </w:t>
      </w:r>
      <w:proofErr w:type="spellStart"/>
      <w:r w:rsidR="00A44247" w:rsidRPr="00A44247">
        <w:rPr>
          <w:sz w:val="22"/>
          <w:szCs w:val="22"/>
        </w:rPr>
        <w:t>domus</w:t>
      </w:r>
      <w:proofErr w:type="spellEnd"/>
      <w:r w:rsidR="00A44247" w:rsidRPr="00A44247">
        <w:rPr>
          <w:sz w:val="22"/>
          <w:szCs w:val="22"/>
        </w:rPr>
        <w:t xml:space="preserve"> </w:t>
      </w:r>
      <w:proofErr w:type="spellStart"/>
      <w:r w:rsidR="00A44247" w:rsidRPr="00A44247">
        <w:rPr>
          <w:sz w:val="22"/>
          <w:szCs w:val="22"/>
        </w:rPr>
        <w:t>Sarensis</w:t>
      </w:r>
      <w:proofErr w:type="spellEnd"/>
      <w:r w:rsidR="00A44247">
        <w:rPr>
          <w:sz w:val="22"/>
          <w:szCs w:val="22"/>
        </w:rPr>
        <w:t xml:space="preserve"> </w:t>
      </w:r>
      <w:r w:rsidR="00A44247" w:rsidRPr="00A44247">
        <w:rPr>
          <w:sz w:val="22"/>
          <w:szCs w:val="22"/>
        </w:rPr>
        <w:t>minor</w:t>
      </w:r>
      <w:r w:rsidR="00A44247">
        <w:rPr>
          <w:sz w:val="22"/>
          <w:szCs w:val="22"/>
        </w:rPr>
        <w:t xml:space="preserve"> atp.</w:t>
      </w:r>
    </w:p>
    <w:p w:rsidR="0086001C" w:rsidRPr="001A13C7" w:rsidRDefault="0086001C" w:rsidP="00F71C8E">
      <w:pPr>
        <w:jc w:val="both"/>
        <w:rPr>
          <w:sz w:val="22"/>
          <w:szCs w:val="22"/>
        </w:rPr>
      </w:pPr>
    </w:p>
    <w:p w:rsidR="00F71C8E" w:rsidRPr="001A13C7" w:rsidRDefault="00F71C8E" w:rsidP="00F71C8E">
      <w:pPr>
        <w:rPr>
          <w:sz w:val="22"/>
          <w:szCs w:val="22"/>
        </w:rPr>
      </w:pPr>
      <w:r w:rsidRPr="001A13C7">
        <w:rPr>
          <w:sz w:val="22"/>
          <w:szCs w:val="22"/>
        </w:rPr>
        <w:t>známka</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F71C8E" w:rsidRPr="001A13C7" w:rsidTr="002E2067">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F71C8E" w:rsidRPr="001A13C7" w:rsidRDefault="00A44247" w:rsidP="002E2067">
            <w:pPr>
              <w:pStyle w:val="Obsahtabulky"/>
              <w:snapToGrid w:val="0"/>
              <w:rPr>
                <w:sz w:val="22"/>
                <w:szCs w:val="22"/>
              </w:rPr>
            </w:pPr>
            <w:r>
              <w:rPr>
                <w:sz w:val="22"/>
                <w:szCs w:val="22"/>
              </w:rPr>
              <w:t>D</w:t>
            </w:r>
          </w:p>
        </w:tc>
      </w:tr>
    </w:tbl>
    <w:p w:rsidR="00F71C8E" w:rsidRPr="001A13C7" w:rsidRDefault="00F71C8E" w:rsidP="00F71C8E">
      <w:pPr>
        <w:rPr>
          <w:b/>
          <w:bCs/>
          <w:sz w:val="22"/>
          <w:szCs w:val="22"/>
        </w:rPr>
      </w:pPr>
    </w:p>
    <w:p w:rsidR="00F71C8E" w:rsidRPr="001A13C7" w:rsidRDefault="00F71C8E" w:rsidP="00F71C8E">
      <w:pPr>
        <w:rPr>
          <w:sz w:val="22"/>
          <w:szCs w:val="22"/>
        </w:rPr>
      </w:pPr>
      <w:r w:rsidRPr="001A13C7">
        <w:rPr>
          <w:b/>
          <w:bCs/>
          <w:sz w:val="22"/>
          <w:szCs w:val="22"/>
        </w:rPr>
        <w:t>IV. Formální náležitosti práce a její úprava</w:t>
      </w:r>
      <w:r w:rsidRPr="001A13C7">
        <w:rPr>
          <w:sz w:val="22"/>
          <w:szCs w:val="22"/>
        </w:rPr>
        <w:t xml:space="preserve"> </w:t>
      </w:r>
    </w:p>
    <w:p w:rsidR="00F71C8E" w:rsidRPr="001A13C7" w:rsidRDefault="00F71C8E" w:rsidP="00F71C8E">
      <w:pPr>
        <w:rPr>
          <w:sz w:val="22"/>
          <w:szCs w:val="22"/>
        </w:rPr>
      </w:pPr>
      <w:r w:rsidRPr="001A13C7">
        <w:rPr>
          <w:sz w:val="22"/>
          <w:szCs w:val="22"/>
        </w:rPr>
        <w:t xml:space="preserve">(jazyková a stylistická úroveň, grafická úprava, dodržení příslušných citačních norem) </w:t>
      </w:r>
    </w:p>
    <w:p w:rsidR="00F71C8E" w:rsidRPr="001A13C7" w:rsidRDefault="007D2DBD" w:rsidP="007D2DBD">
      <w:pPr>
        <w:jc w:val="both"/>
        <w:rPr>
          <w:sz w:val="22"/>
          <w:szCs w:val="22"/>
        </w:rPr>
      </w:pPr>
      <w:r>
        <w:rPr>
          <w:sz w:val="22"/>
          <w:szCs w:val="22"/>
        </w:rPr>
        <w:t xml:space="preserve">Citační normy autorka dodržuje. Při opakovaně uváděných děl mohla použít zkrácené formy zápisů. </w:t>
      </w:r>
      <w:r w:rsidR="00A44247">
        <w:rPr>
          <w:sz w:val="22"/>
          <w:szCs w:val="22"/>
        </w:rPr>
        <w:t xml:space="preserve">Jazyková a stylistická úroveň práce je na slušné úrovni, byť s občasnými nelogičnostmi. Příkladem </w:t>
      </w:r>
      <w:r>
        <w:rPr>
          <w:sz w:val="22"/>
          <w:szCs w:val="22"/>
        </w:rPr>
        <w:t>mohou</w:t>
      </w:r>
      <w:r w:rsidR="00A44247">
        <w:rPr>
          <w:sz w:val="22"/>
          <w:szCs w:val="22"/>
        </w:rPr>
        <w:t xml:space="preserve"> být formulace: „</w:t>
      </w:r>
      <w:r w:rsidR="00A44247" w:rsidRPr="00A44247">
        <w:rPr>
          <w:sz w:val="22"/>
          <w:szCs w:val="22"/>
        </w:rPr>
        <w:t>Víme, že v tomto období už b</w:t>
      </w:r>
      <w:r w:rsidR="00A44247">
        <w:rPr>
          <w:rFonts w:eastAsia="Times New Roman"/>
          <w:sz w:val="22"/>
          <w:szCs w:val="22"/>
        </w:rPr>
        <w:t>ě</w:t>
      </w:r>
      <w:r w:rsidR="00A44247" w:rsidRPr="00A44247">
        <w:rPr>
          <w:rFonts w:hint="eastAsia"/>
          <w:sz w:val="22"/>
          <w:szCs w:val="22"/>
        </w:rPr>
        <w:t>ž</w:t>
      </w:r>
      <w:r w:rsidR="00A44247" w:rsidRPr="00A44247">
        <w:rPr>
          <w:sz w:val="22"/>
          <w:szCs w:val="22"/>
        </w:rPr>
        <w:t>n</w:t>
      </w:r>
      <w:r w:rsidR="00A44247">
        <w:rPr>
          <w:rFonts w:eastAsia="Times New Roman"/>
          <w:sz w:val="22"/>
          <w:szCs w:val="22"/>
        </w:rPr>
        <w:t>ě</w:t>
      </w:r>
      <w:r w:rsidR="00A44247" w:rsidRPr="00A44247">
        <w:rPr>
          <w:sz w:val="22"/>
          <w:szCs w:val="22"/>
        </w:rPr>
        <w:t xml:space="preserve"> fungovaly ve m</w:t>
      </w:r>
      <w:r w:rsidR="00A44247">
        <w:rPr>
          <w:rFonts w:eastAsia="Times New Roman"/>
          <w:sz w:val="22"/>
          <w:szCs w:val="22"/>
        </w:rPr>
        <w:t>ě</w:t>
      </w:r>
      <w:r w:rsidR="00A44247" w:rsidRPr="00A44247">
        <w:rPr>
          <w:sz w:val="22"/>
          <w:szCs w:val="22"/>
        </w:rPr>
        <w:t>stech</w:t>
      </w:r>
      <w:r w:rsidR="00A44247">
        <w:rPr>
          <w:sz w:val="22"/>
          <w:szCs w:val="22"/>
        </w:rPr>
        <w:t xml:space="preserve"> </w:t>
      </w:r>
      <w:r w:rsidR="00A44247" w:rsidRPr="00A44247">
        <w:rPr>
          <w:sz w:val="22"/>
          <w:szCs w:val="22"/>
        </w:rPr>
        <w:t>mechanické v</w:t>
      </w:r>
      <w:r w:rsidR="00A44247">
        <w:rPr>
          <w:rFonts w:eastAsia="Times New Roman"/>
          <w:sz w:val="22"/>
          <w:szCs w:val="22"/>
        </w:rPr>
        <w:t>ě</w:t>
      </w:r>
      <w:r w:rsidR="00A44247" w:rsidRPr="00A44247">
        <w:rPr>
          <w:rFonts w:hint="eastAsia"/>
          <w:sz w:val="22"/>
          <w:szCs w:val="22"/>
        </w:rPr>
        <w:t>ž</w:t>
      </w:r>
      <w:r w:rsidR="00A44247" w:rsidRPr="00A44247">
        <w:rPr>
          <w:sz w:val="22"/>
          <w:szCs w:val="22"/>
        </w:rPr>
        <w:t>ní hodiny. Jejich dosah v prost</w:t>
      </w:r>
      <w:r w:rsidR="00A44247">
        <w:rPr>
          <w:rFonts w:eastAsia="Times New Roman"/>
          <w:sz w:val="22"/>
          <w:szCs w:val="22"/>
        </w:rPr>
        <w:t>ř</w:t>
      </w:r>
      <w:r w:rsidR="00A44247" w:rsidRPr="00A44247">
        <w:rPr>
          <w:sz w:val="22"/>
          <w:szCs w:val="22"/>
        </w:rPr>
        <w:t>edí šlechtických sídel je pravd</w:t>
      </w:r>
      <w:r w:rsidR="00A44247">
        <w:rPr>
          <w:rFonts w:eastAsia="Times New Roman"/>
          <w:sz w:val="22"/>
          <w:szCs w:val="22"/>
        </w:rPr>
        <w:t>ě</w:t>
      </w:r>
      <w:r w:rsidR="00A44247" w:rsidRPr="00A44247">
        <w:rPr>
          <w:sz w:val="22"/>
          <w:szCs w:val="22"/>
        </w:rPr>
        <w:t>podobn</w:t>
      </w:r>
      <w:r w:rsidR="00A44247">
        <w:rPr>
          <w:rFonts w:eastAsia="Times New Roman"/>
          <w:sz w:val="22"/>
          <w:szCs w:val="22"/>
        </w:rPr>
        <w:t>ě</w:t>
      </w:r>
      <w:r w:rsidR="00A44247" w:rsidRPr="00A44247">
        <w:rPr>
          <w:sz w:val="22"/>
          <w:szCs w:val="22"/>
        </w:rPr>
        <w:t xml:space="preserve"> vyloučen.</w:t>
      </w:r>
      <w:r w:rsidR="00A44247">
        <w:rPr>
          <w:sz w:val="22"/>
          <w:szCs w:val="22"/>
        </w:rPr>
        <w:t>“ (s. 49)</w:t>
      </w:r>
      <w:r>
        <w:rPr>
          <w:sz w:val="22"/>
          <w:szCs w:val="22"/>
        </w:rPr>
        <w:t xml:space="preserve"> Na jiném místě je pak osoba Oldřicha z Rožmberka přiblížena slovy: „</w:t>
      </w:r>
      <w:r w:rsidRPr="007D2DBD">
        <w:rPr>
          <w:sz w:val="22"/>
          <w:szCs w:val="22"/>
        </w:rPr>
        <w:t>Vím, že p</w:t>
      </w:r>
      <w:r>
        <w:rPr>
          <w:rFonts w:eastAsia="Times New Roman"/>
          <w:sz w:val="22"/>
          <w:szCs w:val="22"/>
        </w:rPr>
        <w:t>ř</w:t>
      </w:r>
      <w:r w:rsidRPr="007D2DBD">
        <w:rPr>
          <w:sz w:val="22"/>
          <w:szCs w:val="22"/>
        </w:rPr>
        <w:t>išel na sv</w:t>
      </w:r>
      <w:r>
        <w:rPr>
          <w:rFonts w:eastAsia="Times New Roman"/>
          <w:sz w:val="22"/>
          <w:szCs w:val="22"/>
        </w:rPr>
        <w:t>ě</w:t>
      </w:r>
      <w:r w:rsidRPr="007D2DBD">
        <w:rPr>
          <w:sz w:val="22"/>
          <w:szCs w:val="22"/>
        </w:rPr>
        <w:t>t jako</w:t>
      </w:r>
      <w:r>
        <w:rPr>
          <w:sz w:val="22"/>
          <w:szCs w:val="22"/>
        </w:rPr>
        <w:t xml:space="preserve"> </w:t>
      </w:r>
      <w:r w:rsidRPr="007D2DBD">
        <w:rPr>
          <w:sz w:val="22"/>
          <w:szCs w:val="22"/>
        </w:rPr>
        <w:t>v po</w:t>
      </w:r>
      <w:r>
        <w:rPr>
          <w:rFonts w:eastAsia="Times New Roman"/>
          <w:sz w:val="22"/>
          <w:szCs w:val="22"/>
        </w:rPr>
        <w:t>ř</w:t>
      </w:r>
      <w:r w:rsidRPr="007D2DBD">
        <w:rPr>
          <w:sz w:val="22"/>
          <w:szCs w:val="22"/>
        </w:rPr>
        <w:t>adí desáté dít</w:t>
      </w:r>
      <w:r>
        <w:rPr>
          <w:rFonts w:eastAsia="Times New Roman"/>
          <w:sz w:val="22"/>
          <w:szCs w:val="22"/>
        </w:rPr>
        <w:t>ě</w:t>
      </w:r>
      <w:r w:rsidRPr="007D2DBD">
        <w:rPr>
          <w:sz w:val="22"/>
          <w:szCs w:val="22"/>
        </w:rPr>
        <w:t xml:space="preserve"> Jana II. z Rožmberka a Anny kn</w:t>
      </w:r>
      <w:r>
        <w:rPr>
          <w:rFonts w:eastAsia="Times New Roman"/>
          <w:sz w:val="22"/>
          <w:szCs w:val="22"/>
        </w:rPr>
        <w:t>ě</w:t>
      </w:r>
      <w:r w:rsidRPr="007D2DBD">
        <w:rPr>
          <w:rFonts w:hint="eastAsia"/>
          <w:sz w:val="22"/>
          <w:szCs w:val="22"/>
        </w:rPr>
        <w:t>ž</w:t>
      </w:r>
      <w:r w:rsidRPr="007D2DBD">
        <w:rPr>
          <w:sz w:val="22"/>
          <w:szCs w:val="22"/>
        </w:rPr>
        <w:t xml:space="preserve">ny </w:t>
      </w:r>
      <w:proofErr w:type="spellStart"/>
      <w:r w:rsidRPr="007D2DBD">
        <w:rPr>
          <w:sz w:val="22"/>
          <w:szCs w:val="22"/>
        </w:rPr>
        <w:t>Hlohovské</w:t>
      </w:r>
      <w:proofErr w:type="spellEnd"/>
      <w:r w:rsidRPr="007D2DBD">
        <w:rPr>
          <w:sz w:val="22"/>
          <w:szCs w:val="22"/>
        </w:rPr>
        <w:t>. To dokazuje, že jeho p</w:t>
      </w:r>
      <w:r>
        <w:rPr>
          <w:rFonts w:eastAsia="Times New Roman"/>
          <w:sz w:val="22"/>
          <w:szCs w:val="22"/>
        </w:rPr>
        <w:t>ů</w:t>
      </w:r>
      <w:r w:rsidRPr="007D2DBD">
        <w:rPr>
          <w:sz w:val="22"/>
          <w:szCs w:val="22"/>
        </w:rPr>
        <w:t>vod</w:t>
      </w:r>
      <w:r>
        <w:rPr>
          <w:sz w:val="22"/>
          <w:szCs w:val="22"/>
        </w:rPr>
        <w:t xml:space="preserve"> </w:t>
      </w:r>
      <w:r w:rsidRPr="007D2DBD">
        <w:rPr>
          <w:sz w:val="22"/>
          <w:szCs w:val="22"/>
        </w:rPr>
        <w:t>je doložen jako zcela legitimní.</w:t>
      </w:r>
      <w:r>
        <w:rPr>
          <w:sz w:val="22"/>
          <w:szCs w:val="22"/>
        </w:rPr>
        <w:t xml:space="preserve">“ </w:t>
      </w:r>
    </w:p>
    <w:p w:rsidR="00F71C8E" w:rsidRPr="001A13C7" w:rsidRDefault="00F71C8E" w:rsidP="00F71C8E">
      <w:pPr>
        <w:jc w:val="both"/>
        <w:rPr>
          <w:sz w:val="22"/>
          <w:szCs w:val="22"/>
        </w:rPr>
      </w:pPr>
    </w:p>
    <w:p w:rsidR="00F71C8E" w:rsidRPr="001A13C7" w:rsidRDefault="00F71C8E" w:rsidP="00F71C8E">
      <w:pPr>
        <w:rPr>
          <w:sz w:val="22"/>
          <w:szCs w:val="22"/>
        </w:rPr>
      </w:pPr>
      <w:r w:rsidRPr="001A13C7">
        <w:rPr>
          <w:sz w:val="22"/>
          <w:szCs w:val="22"/>
        </w:rPr>
        <w:t>známka</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F71C8E" w:rsidRPr="001A13C7" w:rsidTr="002E2067">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F71C8E" w:rsidRPr="001A13C7" w:rsidRDefault="007D2DBD" w:rsidP="002E2067">
            <w:pPr>
              <w:pStyle w:val="Obsahtabulky"/>
              <w:snapToGrid w:val="0"/>
              <w:rPr>
                <w:sz w:val="22"/>
                <w:szCs w:val="22"/>
              </w:rPr>
            </w:pPr>
            <w:r>
              <w:rPr>
                <w:sz w:val="22"/>
                <w:szCs w:val="22"/>
              </w:rPr>
              <w:t>C</w:t>
            </w:r>
          </w:p>
        </w:tc>
      </w:tr>
    </w:tbl>
    <w:p w:rsidR="00F71C8E" w:rsidRPr="001A13C7" w:rsidRDefault="00F71C8E" w:rsidP="00F71C8E">
      <w:pPr>
        <w:rPr>
          <w:sz w:val="22"/>
          <w:szCs w:val="22"/>
        </w:rPr>
      </w:pPr>
    </w:p>
    <w:p w:rsidR="00F71C8E" w:rsidRPr="001A13C7" w:rsidRDefault="00F71C8E" w:rsidP="00F71C8E">
      <w:pPr>
        <w:rPr>
          <w:b/>
          <w:bCs/>
          <w:sz w:val="22"/>
          <w:szCs w:val="22"/>
        </w:rPr>
      </w:pPr>
    </w:p>
    <w:p w:rsidR="00F71C8E" w:rsidRPr="001A13C7" w:rsidRDefault="00F71C8E" w:rsidP="00F71C8E">
      <w:pPr>
        <w:rPr>
          <w:sz w:val="22"/>
          <w:szCs w:val="22"/>
        </w:rPr>
      </w:pPr>
      <w:r w:rsidRPr="001A13C7">
        <w:rPr>
          <w:b/>
          <w:bCs/>
          <w:sz w:val="22"/>
          <w:szCs w:val="22"/>
        </w:rPr>
        <w:t>V. Otázky doporučené k rozpravě při obhajobě</w:t>
      </w:r>
      <w:r w:rsidRPr="001A13C7">
        <w:rPr>
          <w:sz w:val="22"/>
          <w:szCs w:val="22"/>
        </w:rPr>
        <w:t xml:space="preserve"> </w:t>
      </w:r>
    </w:p>
    <w:p w:rsidR="00F71C8E" w:rsidRPr="001A13C7" w:rsidRDefault="00F71C8E" w:rsidP="00F71C8E">
      <w:pPr>
        <w:rPr>
          <w:sz w:val="22"/>
          <w:szCs w:val="22"/>
        </w:rPr>
      </w:pPr>
    </w:p>
    <w:p w:rsidR="00F71C8E" w:rsidRDefault="007D2DBD" w:rsidP="00F71C8E">
      <w:pPr>
        <w:rPr>
          <w:sz w:val="22"/>
          <w:szCs w:val="22"/>
        </w:rPr>
      </w:pPr>
      <w:r>
        <w:rPr>
          <w:sz w:val="22"/>
          <w:szCs w:val="22"/>
        </w:rPr>
        <w:t>V textu autorka používá termín „kulturní změna“. Zajímalo by mne, co si pod tímto termínem představuje.</w:t>
      </w:r>
    </w:p>
    <w:p w:rsidR="00F71C8E" w:rsidRPr="001A13C7" w:rsidRDefault="00F71C8E" w:rsidP="00F71C8E">
      <w:pPr>
        <w:rPr>
          <w:sz w:val="22"/>
          <w:szCs w:val="22"/>
        </w:rPr>
      </w:pPr>
    </w:p>
    <w:p w:rsidR="00F71C8E" w:rsidRDefault="00F71C8E" w:rsidP="00F71C8E">
      <w:pPr>
        <w:rPr>
          <w:sz w:val="22"/>
          <w:szCs w:val="22"/>
        </w:rPr>
      </w:pPr>
      <w:r w:rsidRPr="001A13C7">
        <w:rPr>
          <w:b/>
          <w:bCs/>
          <w:sz w:val="22"/>
          <w:szCs w:val="22"/>
        </w:rPr>
        <w:t>VI. Celkové hodnocení</w:t>
      </w:r>
      <w:r w:rsidRPr="001A13C7">
        <w:rPr>
          <w:sz w:val="22"/>
          <w:szCs w:val="22"/>
        </w:rPr>
        <w:t xml:space="preserve"> (doporučení/nedoporučení k obhajobě)</w:t>
      </w:r>
      <w:bookmarkStart w:id="0" w:name="_GoBack"/>
      <w:bookmarkEnd w:id="0"/>
    </w:p>
    <w:p w:rsidR="007D2DBD" w:rsidRPr="001A13C7" w:rsidRDefault="007D2DBD" w:rsidP="00F71C8E">
      <w:pPr>
        <w:rPr>
          <w:sz w:val="22"/>
          <w:szCs w:val="22"/>
        </w:rPr>
      </w:pPr>
      <w:r>
        <w:rPr>
          <w:sz w:val="22"/>
          <w:szCs w:val="22"/>
        </w:rPr>
        <w:t>Doporučuji k obhajobě se známkou D.</w:t>
      </w:r>
    </w:p>
    <w:p w:rsidR="00F71C8E" w:rsidRPr="001A13C7" w:rsidRDefault="00F71C8E" w:rsidP="00F71C8E">
      <w:pPr>
        <w:rPr>
          <w:sz w:val="22"/>
          <w:szCs w:val="22"/>
        </w:rPr>
      </w:pPr>
    </w:p>
    <w:p w:rsidR="00F71C8E" w:rsidRPr="001A13C7" w:rsidRDefault="00F71C8E" w:rsidP="00F71C8E">
      <w:pPr>
        <w:rPr>
          <w:b/>
          <w:bCs/>
          <w:sz w:val="22"/>
          <w:szCs w:val="22"/>
        </w:rPr>
      </w:pPr>
    </w:p>
    <w:p w:rsidR="00F71C8E" w:rsidRPr="001A13C7" w:rsidRDefault="00F71C8E" w:rsidP="00F71C8E">
      <w:pPr>
        <w:rPr>
          <w:sz w:val="22"/>
          <w:szCs w:val="22"/>
        </w:rPr>
      </w:pPr>
    </w:p>
    <w:p w:rsidR="003959DA" w:rsidRDefault="00F71C8E">
      <w:r>
        <w:rPr>
          <w:sz w:val="22"/>
          <w:szCs w:val="22"/>
        </w:rPr>
        <w:t xml:space="preserve">datum: </w:t>
      </w:r>
      <w:proofErr w:type="gramStart"/>
      <w:r>
        <w:rPr>
          <w:sz w:val="22"/>
          <w:szCs w:val="22"/>
        </w:rPr>
        <w:t>6.8.2018</w:t>
      </w:r>
      <w:proofErr w:type="gramEnd"/>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Pr="001A13C7">
        <w:rPr>
          <w:sz w:val="22"/>
          <w:szCs w:val="22"/>
        </w:rPr>
        <w:t xml:space="preserve">podpis:  </w:t>
      </w:r>
      <w:r w:rsidR="00D27666">
        <w:rPr>
          <w:noProof/>
          <w:lang w:eastAsia="cs-CZ"/>
        </w:rPr>
        <w:drawing>
          <wp:inline distT="0" distB="0" distL="0" distR="0" wp14:anchorId="664DB39A" wp14:editId="4DF0160D">
            <wp:extent cx="1589888" cy="923925"/>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602670" cy="931353"/>
                    </a:xfrm>
                    <a:prstGeom prst="rect">
                      <a:avLst/>
                    </a:prstGeom>
                    <a:noFill/>
                    <a:ln>
                      <a:noFill/>
                    </a:ln>
                  </pic:spPr>
                </pic:pic>
              </a:graphicData>
            </a:graphic>
          </wp:inline>
        </w:drawing>
      </w:r>
    </w:p>
    <w:sectPr w:rsidR="003959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C8E"/>
    <w:rsid w:val="00033A82"/>
    <w:rsid w:val="003959DA"/>
    <w:rsid w:val="003C0209"/>
    <w:rsid w:val="00501703"/>
    <w:rsid w:val="006A2DEA"/>
    <w:rsid w:val="00706249"/>
    <w:rsid w:val="007379ED"/>
    <w:rsid w:val="00785FC9"/>
    <w:rsid w:val="007D2DBD"/>
    <w:rsid w:val="00844B1E"/>
    <w:rsid w:val="0086001C"/>
    <w:rsid w:val="0091762B"/>
    <w:rsid w:val="00A44247"/>
    <w:rsid w:val="00AF3968"/>
    <w:rsid w:val="00BC34FE"/>
    <w:rsid w:val="00D27666"/>
    <w:rsid w:val="00F71C8E"/>
    <w:rsid w:val="00F846B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87769"/>
  <w15:chartTrackingRefBased/>
  <w15:docId w15:val="{7A59268F-3CB4-46B7-ABC6-5CEB2FAB3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71C8E"/>
    <w:pPr>
      <w:widowControl w:val="0"/>
      <w:suppressAutoHyphens/>
      <w:spacing w:after="0" w:line="240" w:lineRule="auto"/>
    </w:pPr>
    <w:rPr>
      <w:rFonts w:ascii="Times New Roman" w:eastAsia="Arial Unicode MS" w:hAnsi="Times New Roman" w:cs="Times New Roman"/>
      <w:kern w:val="1"/>
      <w:sz w:val="24"/>
      <w:szCs w:val="24"/>
      <w:lang w:eastAsia="ar-SA"/>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Obsahtabulky">
    <w:name w:val="Obsah tabulky"/>
    <w:basedOn w:val="Normln"/>
    <w:rsid w:val="00F71C8E"/>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919</TotalTime>
  <Pages>2</Pages>
  <Words>792</Words>
  <Characters>4675</Characters>
  <Application>Microsoft Office Word</Application>
  <DocSecurity>0</DocSecurity>
  <Lines>38</Lines>
  <Paragraphs>10</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Capsky Martin</dc:creator>
  <cp:keywords/>
  <dc:description/>
  <cp:lastModifiedBy>Capsky Martin</cp:lastModifiedBy>
  <cp:revision>6</cp:revision>
  <dcterms:created xsi:type="dcterms:W3CDTF">2018-08-05T21:57:00Z</dcterms:created>
  <dcterms:modified xsi:type="dcterms:W3CDTF">2018-08-06T19:54:00Z</dcterms:modified>
</cp:coreProperties>
</file>