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F167C" w:rsidRPr="00557A62" w:rsidRDefault="009F167C" w:rsidP="009F167C">
      <w:pPr>
        <w:spacing w:line="288" w:lineRule="auto"/>
        <w:rPr>
          <w:rFonts w:ascii="Garamond" w:hAnsi="Garamond"/>
          <w:sz w:val="24"/>
          <w:szCs w:val="24"/>
        </w:rPr>
      </w:pPr>
      <w:bookmarkStart w:id="0" w:name="_GoBack"/>
      <w:bookmarkEnd w:id="0"/>
      <w:r w:rsidRPr="00557A62">
        <w:rPr>
          <w:rFonts w:ascii="Garamond" w:hAnsi="Garamond"/>
          <w:sz w:val="24"/>
          <w:szCs w:val="24"/>
        </w:rPr>
        <w:t xml:space="preserve">Posudek vedoucího </w:t>
      </w:r>
      <w:r>
        <w:rPr>
          <w:rFonts w:ascii="Garamond" w:hAnsi="Garamond"/>
          <w:sz w:val="24"/>
          <w:szCs w:val="24"/>
        </w:rPr>
        <w:t xml:space="preserve">doc. </w:t>
      </w:r>
      <w:r w:rsidRPr="00557A62">
        <w:rPr>
          <w:rFonts w:ascii="Garamond" w:hAnsi="Garamond"/>
          <w:sz w:val="24"/>
          <w:szCs w:val="24"/>
        </w:rPr>
        <w:t xml:space="preserve">Ing. Petra Česly, Ph.D. na diplomovou práci Bc. </w:t>
      </w:r>
      <w:r w:rsidR="00A120EB">
        <w:rPr>
          <w:rFonts w:ascii="Garamond" w:hAnsi="Garamond"/>
          <w:sz w:val="24"/>
          <w:szCs w:val="24"/>
        </w:rPr>
        <w:t>Barbory Blažíčkové</w:t>
      </w:r>
    </w:p>
    <w:p w:rsidR="009F167C" w:rsidRPr="00F41CD2" w:rsidRDefault="00A120EB" w:rsidP="009F167C">
      <w:pPr>
        <w:spacing w:line="288" w:lineRule="auto"/>
        <w:jc w:val="center"/>
        <w:rPr>
          <w:rFonts w:ascii="Garamond" w:hAnsi="Garamond"/>
          <w:b/>
          <w:smallCaps/>
          <w:sz w:val="32"/>
          <w:szCs w:val="32"/>
        </w:rPr>
      </w:pPr>
      <w:r>
        <w:rPr>
          <w:rFonts w:ascii="Garamond" w:hAnsi="Garamond"/>
          <w:b/>
          <w:smallCaps/>
          <w:sz w:val="32"/>
          <w:szCs w:val="32"/>
        </w:rPr>
        <w:t xml:space="preserve">Dvourozměrná kapalinová chromatografie </w:t>
      </w:r>
      <w:proofErr w:type="spellStart"/>
      <w:r>
        <w:rPr>
          <w:rFonts w:ascii="Garamond" w:hAnsi="Garamond"/>
          <w:b/>
          <w:smallCaps/>
          <w:sz w:val="32"/>
          <w:szCs w:val="32"/>
        </w:rPr>
        <w:t>oxyethylenovaných</w:t>
      </w:r>
      <w:proofErr w:type="spellEnd"/>
      <w:r>
        <w:rPr>
          <w:rFonts w:ascii="Garamond" w:hAnsi="Garamond"/>
          <w:b/>
          <w:smallCaps/>
          <w:sz w:val="32"/>
          <w:szCs w:val="32"/>
        </w:rPr>
        <w:t xml:space="preserve"> </w:t>
      </w:r>
      <w:proofErr w:type="spellStart"/>
      <w:r>
        <w:rPr>
          <w:rFonts w:ascii="Garamond" w:hAnsi="Garamond"/>
          <w:b/>
          <w:smallCaps/>
          <w:sz w:val="32"/>
          <w:szCs w:val="32"/>
        </w:rPr>
        <w:t>acylglycerolů</w:t>
      </w:r>
      <w:proofErr w:type="spellEnd"/>
      <w:r>
        <w:rPr>
          <w:rFonts w:ascii="Garamond" w:hAnsi="Garamond"/>
          <w:b/>
          <w:smallCaps/>
          <w:sz w:val="32"/>
          <w:szCs w:val="32"/>
        </w:rPr>
        <w:t xml:space="preserve"> s využitím fokusační modulace</w:t>
      </w:r>
    </w:p>
    <w:p w:rsidR="00C626BB" w:rsidRDefault="00A120EB" w:rsidP="00C626BB">
      <w:pPr>
        <w:spacing w:line="336" w:lineRule="auto"/>
        <w:ind w:firstLine="709"/>
        <w:jc w:val="both"/>
        <w:rPr>
          <w:rFonts w:ascii="Garamond" w:hAnsi="Garamond"/>
          <w:sz w:val="24"/>
          <w:szCs w:val="24"/>
        </w:rPr>
      </w:pPr>
      <w:r>
        <w:rPr>
          <w:rFonts w:ascii="Garamond" w:hAnsi="Garamond"/>
          <w:sz w:val="24"/>
          <w:szCs w:val="24"/>
        </w:rPr>
        <w:t xml:space="preserve">Kapalinová chromatografie složitých směsí, mezi něž patří také neiontové tenzidy, je komplikovaná vzhledem k nutnosti separovat velké množství složek dané směsi. Dvourozměrné metody přináší v tomto ohledu výhodu vzhledem k výrazně zvýšené </w:t>
      </w:r>
      <w:proofErr w:type="spellStart"/>
      <w:r>
        <w:rPr>
          <w:rFonts w:ascii="Garamond" w:hAnsi="Garamond"/>
          <w:sz w:val="24"/>
          <w:szCs w:val="24"/>
        </w:rPr>
        <w:t>píkové</w:t>
      </w:r>
      <w:proofErr w:type="spellEnd"/>
      <w:r>
        <w:rPr>
          <w:rFonts w:ascii="Garamond" w:hAnsi="Garamond"/>
          <w:sz w:val="24"/>
          <w:szCs w:val="24"/>
        </w:rPr>
        <w:t xml:space="preserve"> kapacitě při použití ortogonálních separačních módů. Mezi zásadní nevýhody však patří ředění vzorku při průchodu standartními modulátory na bázi smyček, které snižuje možnosti kvantitativní analýzy. Tato diplomová práce si kladla za cíl ověřit možnosti fokusace převáděných zón s pomocí tzv. </w:t>
      </w:r>
      <w:r w:rsidR="00C626BB">
        <w:rPr>
          <w:rFonts w:ascii="Garamond" w:hAnsi="Garamond"/>
          <w:sz w:val="24"/>
          <w:szCs w:val="24"/>
        </w:rPr>
        <w:t xml:space="preserve">aktivní modulace, tedy s pomocí ředění </w:t>
      </w:r>
      <w:proofErr w:type="spellStart"/>
      <w:r w:rsidR="00C626BB">
        <w:rPr>
          <w:rFonts w:ascii="Garamond" w:hAnsi="Garamond"/>
          <w:sz w:val="24"/>
          <w:szCs w:val="24"/>
        </w:rPr>
        <w:t>eluátu</w:t>
      </w:r>
      <w:proofErr w:type="spellEnd"/>
      <w:r w:rsidR="00C626BB">
        <w:rPr>
          <w:rFonts w:ascii="Garamond" w:hAnsi="Garamond"/>
          <w:sz w:val="24"/>
          <w:szCs w:val="24"/>
        </w:rPr>
        <w:t xml:space="preserve"> z kolony první dimenze (snížení eluční síly) a následném </w:t>
      </w:r>
      <w:proofErr w:type="spellStart"/>
      <w:r w:rsidR="00C626BB">
        <w:rPr>
          <w:rFonts w:ascii="Garamond" w:hAnsi="Garamond"/>
          <w:sz w:val="24"/>
          <w:szCs w:val="24"/>
        </w:rPr>
        <w:t>zafokusování</w:t>
      </w:r>
      <w:proofErr w:type="spellEnd"/>
      <w:r w:rsidR="00C626BB">
        <w:rPr>
          <w:rFonts w:ascii="Garamond" w:hAnsi="Garamond"/>
          <w:sz w:val="24"/>
          <w:szCs w:val="24"/>
        </w:rPr>
        <w:t xml:space="preserve"> dávkovaných zón na začátku kolony v druhé dimenzi. Pro správné ověření fokusace bylo nejprve nutné charakterizovat použitý systém z hlediska zpoždění gradientu a </w:t>
      </w:r>
      <w:proofErr w:type="spellStart"/>
      <w:r w:rsidR="00C626BB">
        <w:rPr>
          <w:rFonts w:ascii="Garamond" w:hAnsi="Garamond"/>
          <w:sz w:val="24"/>
          <w:szCs w:val="24"/>
        </w:rPr>
        <w:t>mimokolonové</w:t>
      </w:r>
      <w:proofErr w:type="spellEnd"/>
      <w:r w:rsidR="00C626BB">
        <w:rPr>
          <w:rFonts w:ascii="Garamond" w:hAnsi="Garamond"/>
          <w:sz w:val="24"/>
          <w:szCs w:val="24"/>
        </w:rPr>
        <w:t xml:space="preserve"> disperze. Dále byl upraven modulátor pomocí přidané „ředící“ smyčky a byly ověřeny její vlivy na </w:t>
      </w:r>
      <w:proofErr w:type="spellStart"/>
      <w:r w:rsidR="00C626BB">
        <w:rPr>
          <w:rFonts w:ascii="Garamond" w:hAnsi="Garamond"/>
          <w:sz w:val="24"/>
          <w:szCs w:val="24"/>
        </w:rPr>
        <w:t>píkovou</w:t>
      </w:r>
      <w:proofErr w:type="spellEnd"/>
      <w:r w:rsidR="00C626BB">
        <w:rPr>
          <w:rFonts w:ascii="Garamond" w:hAnsi="Garamond"/>
          <w:sz w:val="24"/>
          <w:szCs w:val="24"/>
        </w:rPr>
        <w:t xml:space="preserve"> kapacitu a ředicí faktor.</w:t>
      </w:r>
    </w:p>
    <w:p w:rsidR="009F167C" w:rsidRPr="002011BD" w:rsidRDefault="00C626BB" w:rsidP="00C626BB">
      <w:pPr>
        <w:spacing w:line="336" w:lineRule="auto"/>
        <w:ind w:firstLine="709"/>
        <w:jc w:val="both"/>
        <w:rPr>
          <w:rFonts w:ascii="Garamond" w:hAnsi="Garamond"/>
          <w:sz w:val="24"/>
          <w:szCs w:val="24"/>
        </w:rPr>
      </w:pPr>
      <w:r>
        <w:rPr>
          <w:rFonts w:ascii="Garamond" w:hAnsi="Garamond"/>
          <w:sz w:val="24"/>
          <w:szCs w:val="24"/>
        </w:rPr>
        <w:t>Výše uvedené téma bylo řešeno diplomantkou s velkou mírou samostatnosti a nejen při experimentální práci, ale zejména při prováděných výpočtech a vyhodnocení dat prokázala diplomantka dobrou orientaci v problematice kapalinové chromatografie. Při laboratorní práci si počínala nadmíru zručně a efektivně a z hlediska vedoucího práce mohu s potěšením konstatovat, že k práci Bc. Barbory Blažíčkové nejen nemám nejmenších připomínek, ale naopak vysoce oceňuji přístup a schopnosti studentky při vypracování diplomové práce. Rovněž zpracování samotného textu diplomové práce, rešeršní práce s literaturou, překlady z anglického jazyka a grafická úprava výsledného textu je dle mého názoru kvalitní a podtrhuje tak píli a svědomitost diplomantky. Z pohledu vedoucího konstatuji, že diplomantka beze zbytku splnila zadání práce a získala cenná data, která poslouží jako základ publikace v renomovaném zahraničním časopise. Diplomovou práci hodnotím</w:t>
      </w:r>
      <w:r w:rsidR="009C664B">
        <w:rPr>
          <w:rFonts w:ascii="Garamond" w:hAnsi="Garamond"/>
          <w:sz w:val="24"/>
          <w:szCs w:val="24"/>
        </w:rPr>
        <w:t xml:space="preserve"> známkou</w:t>
      </w:r>
    </w:p>
    <w:p w:rsidR="009F167C" w:rsidRPr="002011BD" w:rsidRDefault="00A120EB" w:rsidP="009F167C">
      <w:pPr>
        <w:spacing w:line="288" w:lineRule="auto"/>
        <w:jc w:val="center"/>
        <w:rPr>
          <w:rFonts w:ascii="Garamond" w:hAnsi="Garamond"/>
          <w:sz w:val="24"/>
          <w:szCs w:val="24"/>
        </w:rPr>
      </w:pPr>
      <w:r>
        <w:rPr>
          <w:rFonts w:ascii="Garamond" w:hAnsi="Garamond"/>
          <w:b/>
          <w:sz w:val="24"/>
          <w:szCs w:val="24"/>
        </w:rPr>
        <w:t>A</w:t>
      </w:r>
    </w:p>
    <w:p w:rsidR="009F167C" w:rsidRPr="00F75AFF" w:rsidRDefault="009F167C" w:rsidP="009F167C">
      <w:pPr>
        <w:spacing w:line="288" w:lineRule="auto"/>
        <w:ind w:firstLine="708"/>
        <w:jc w:val="both"/>
        <w:rPr>
          <w:rFonts w:ascii="Garamond" w:hAnsi="Garamond"/>
          <w:b/>
          <w:smallCaps/>
          <w:sz w:val="24"/>
          <w:szCs w:val="24"/>
        </w:rPr>
      </w:pPr>
    </w:p>
    <w:p w:rsidR="009F167C" w:rsidRPr="00557A62" w:rsidRDefault="009F167C" w:rsidP="009F167C">
      <w:pPr>
        <w:spacing w:line="288" w:lineRule="auto"/>
        <w:jc w:val="both"/>
        <w:rPr>
          <w:rFonts w:ascii="Garamond" w:hAnsi="Garamond"/>
          <w:sz w:val="24"/>
          <w:szCs w:val="24"/>
        </w:rPr>
      </w:pPr>
      <w:r w:rsidRPr="00557A62">
        <w:rPr>
          <w:rFonts w:ascii="Garamond" w:hAnsi="Garamond"/>
          <w:sz w:val="24"/>
          <w:szCs w:val="24"/>
        </w:rPr>
        <w:t xml:space="preserve">V Pardubicích dne </w:t>
      </w:r>
      <w:r w:rsidR="00A120EB">
        <w:rPr>
          <w:rFonts w:ascii="Garamond" w:hAnsi="Garamond"/>
          <w:sz w:val="24"/>
          <w:szCs w:val="24"/>
        </w:rPr>
        <w:t>27</w:t>
      </w:r>
      <w:r w:rsidRPr="00557A62">
        <w:rPr>
          <w:rFonts w:ascii="Garamond" w:hAnsi="Garamond"/>
          <w:sz w:val="24"/>
          <w:szCs w:val="24"/>
        </w:rPr>
        <w:t xml:space="preserve">. </w:t>
      </w:r>
      <w:r w:rsidR="00A120EB">
        <w:rPr>
          <w:rFonts w:ascii="Garamond" w:hAnsi="Garamond"/>
          <w:sz w:val="24"/>
          <w:szCs w:val="24"/>
        </w:rPr>
        <w:t>května</w:t>
      </w:r>
      <w:r>
        <w:rPr>
          <w:rFonts w:ascii="Garamond" w:hAnsi="Garamond"/>
          <w:sz w:val="24"/>
          <w:szCs w:val="24"/>
        </w:rPr>
        <w:t xml:space="preserve"> </w:t>
      </w:r>
      <w:r w:rsidRPr="00557A62">
        <w:rPr>
          <w:rFonts w:ascii="Garamond" w:hAnsi="Garamond"/>
          <w:sz w:val="24"/>
          <w:szCs w:val="24"/>
        </w:rPr>
        <w:t>20</w:t>
      </w:r>
      <w:r>
        <w:rPr>
          <w:rFonts w:ascii="Garamond" w:hAnsi="Garamond"/>
          <w:sz w:val="24"/>
          <w:szCs w:val="24"/>
        </w:rPr>
        <w:t>2</w:t>
      </w:r>
      <w:r w:rsidR="00A120EB">
        <w:rPr>
          <w:rFonts w:ascii="Garamond" w:hAnsi="Garamond"/>
          <w:sz w:val="24"/>
          <w:szCs w:val="24"/>
        </w:rPr>
        <w:t>2</w:t>
      </w:r>
    </w:p>
    <w:p w:rsidR="009F167C" w:rsidRPr="00557A62" w:rsidRDefault="009F167C" w:rsidP="009F167C">
      <w:pPr>
        <w:spacing w:line="288" w:lineRule="auto"/>
        <w:jc w:val="both"/>
        <w:rPr>
          <w:rFonts w:ascii="Garamond" w:hAnsi="Garamond"/>
          <w:sz w:val="24"/>
          <w:szCs w:val="24"/>
        </w:rPr>
      </w:pPr>
    </w:p>
    <w:p w:rsidR="009F167C" w:rsidRPr="00557A62" w:rsidRDefault="009F167C" w:rsidP="009F167C">
      <w:pPr>
        <w:spacing w:line="288" w:lineRule="auto"/>
        <w:jc w:val="both"/>
        <w:rPr>
          <w:rFonts w:ascii="Garamond" w:hAnsi="Garamond"/>
          <w:sz w:val="24"/>
          <w:szCs w:val="24"/>
        </w:rPr>
      </w:pPr>
    </w:p>
    <w:p w:rsidR="00617F65" w:rsidRPr="009F167C" w:rsidRDefault="009F167C" w:rsidP="00C626BB">
      <w:pPr>
        <w:spacing w:line="288" w:lineRule="auto"/>
        <w:jc w:val="both"/>
      </w:pP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sidRPr="00557A62">
        <w:rPr>
          <w:rFonts w:ascii="Garamond" w:hAnsi="Garamond"/>
          <w:sz w:val="24"/>
          <w:szCs w:val="24"/>
        </w:rPr>
        <w:tab/>
      </w:r>
      <w:r>
        <w:rPr>
          <w:rFonts w:ascii="Garamond" w:hAnsi="Garamond"/>
          <w:sz w:val="24"/>
          <w:szCs w:val="24"/>
        </w:rPr>
        <w:t xml:space="preserve">doc. </w:t>
      </w:r>
      <w:r w:rsidRPr="00557A62">
        <w:rPr>
          <w:rFonts w:ascii="Garamond" w:hAnsi="Garamond"/>
          <w:sz w:val="24"/>
          <w:szCs w:val="24"/>
        </w:rPr>
        <w:t>Ing. Petr Česla, Ph.D.</w:t>
      </w:r>
    </w:p>
    <w:sectPr w:rsidR="00617F65" w:rsidRPr="009F16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167C"/>
    <w:rsid w:val="00323F39"/>
    <w:rsid w:val="004042CD"/>
    <w:rsid w:val="004248C0"/>
    <w:rsid w:val="004A6C27"/>
    <w:rsid w:val="00617F65"/>
    <w:rsid w:val="007B467D"/>
    <w:rsid w:val="007C6662"/>
    <w:rsid w:val="009C664B"/>
    <w:rsid w:val="009F167C"/>
    <w:rsid w:val="00A120EB"/>
    <w:rsid w:val="00B2252E"/>
    <w:rsid w:val="00C626BB"/>
    <w:rsid w:val="00D3232C"/>
    <w:rsid w:val="00EB2616"/>
    <w:rsid w:val="00F41CD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416913D-3E8A-4FF9-8D7E-EFA0A3DA1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9F167C"/>
    <w:pPr>
      <w:spacing w:after="200" w:line="276" w:lineRule="auto"/>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sid w:val="00B2252E"/>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B2252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pixelsPerInch w:val="120"/>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315</Words>
  <Characters>1864</Characters>
  <Application>Microsoft Office Word</Application>
  <DocSecurity>0</DocSecurity>
  <Lines>15</Lines>
  <Paragraphs>4</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Cesla Petr</dc:creator>
  <cp:keywords/>
  <dc:description/>
  <cp:lastModifiedBy>Polednikova Miloslava</cp:lastModifiedBy>
  <cp:revision>2</cp:revision>
  <cp:lastPrinted>2020-08-10T07:21:00Z</cp:lastPrinted>
  <dcterms:created xsi:type="dcterms:W3CDTF">2022-05-30T07:59:00Z</dcterms:created>
  <dcterms:modified xsi:type="dcterms:W3CDTF">2022-05-30T07:59:00Z</dcterms:modified>
</cp:coreProperties>
</file>