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520" w:rsidRDefault="00C57520" w:rsidP="00C57520">
      <w:pPr>
        <w:pStyle w:val="Nzev"/>
        <w:jc w:val="left"/>
        <w:rPr>
          <w:b w:val="0"/>
          <w:bCs w:val="0"/>
        </w:rPr>
      </w:pPr>
      <w:proofErr w:type="spellStart"/>
      <w:r>
        <w:rPr>
          <w:b w:val="0"/>
          <w:bCs w:val="0"/>
        </w:rPr>
        <w:t>ČapekJ_Die</w:t>
      </w:r>
      <w:proofErr w:type="spellEnd"/>
      <w:r>
        <w:rPr>
          <w:b w:val="0"/>
          <w:bCs w:val="0"/>
        </w:rPr>
        <w:t xml:space="preserve"> Wahrnehmung_PH_2019</w:t>
      </w:r>
    </w:p>
    <w:p w:rsidR="00C57520" w:rsidRDefault="00C57520" w:rsidP="00C57520">
      <w:pPr>
        <w:pStyle w:val="Nzev"/>
      </w:pPr>
    </w:p>
    <w:p w:rsidR="00C57520" w:rsidRDefault="00C57520" w:rsidP="00C57520">
      <w:pPr>
        <w:pStyle w:val="Nzev"/>
      </w:pPr>
      <w:r>
        <w:t>Posudek bakalářské práce</w:t>
      </w:r>
    </w:p>
    <w:p w:rsidR="00C57520" w:rsidRDefault="00C57520" w:rsidP="00C57520">
      <w:pPr>
        <w:jc w:val="center"/>
      </w:pPr>
    </w:p>
    <w:p w:rsidR="00C57520" w:rsidRDefault="00C57520" w:rsidP="00C57520">
      <w:pPr>
        <w:jc w:val="center"/>
      </w:pPr>
      <w:r>
        <w:t xml:space="preserve">Pavlíny </w:t>
      </w:r>
      <w:proofErr w:type="spellStart"/>
      <w:r>
        <w:t>Hilscherové</w:t>
      </w:r>
      <w:proofErr w:type="spellEnd"/>
    </w:p>
    <w:p w:rsidR="00C57520" w:rsidRDefault="00C57520" w:rsidP="00C57520">
      <w:pPr>
        <w:jc w:val="center"/>
      </w:pPr>
    </w:p>
    <w:p w:rsidR="00C57520" w:rsidRDefault="00C57520" w:rsidP="00C57520">
      <w:pPr>
        <w:jc w:val="center"/>
      </w:pPr>
      <w:r>
        <w:t xml:space="preserve">Die </w:t>
      </w:r>
      <w:proofErr w:type="spellStart"/>
      <w:r>
        <w:t>Wahrnehmung</w:t>
      </w:r>
      <w:proofErr w:type="spellEnd"/>
      <w:r>
        <w:t xml:space="preserve"> von </w:t>
      </w:r>
      <w:proofErr w:type="spellStart"/>
      <w:r>
        <w:t>Kitsch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Geschmack</w:t>
      </w:r>
      <w:proofErr w:type="spellEnd"/>
      <w:r>
        <w:t xml:space="preserve"> in </w:t>
      </w:r>
      <w:proofErr w:type="spellStart"/>
      <w:r>
        <w:t>Deutschland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Tschechien</w:t>
      </w:r>
      <w:proofErr w:type="spellEnd"/>
    </w:p>
    <w:p w:rsidR="00C57520" w:rsidRDefault="00C57520" w:rsidP="00C57520">
      <w:pPr>
        <w:jc w:val="center"/>
      </w:pPr>
    </w:p>
    <w:p w:rsidR="00C57520" w:rsidRDefault="00C57520" w:rsidP="00C57520">
      <w:pPr>
        <w:jc w:val="center"/>
      </w:pPr>
    </w:p>
    <w:p w:rsidR="00C57520" w:rsidRDefault="00C57520" w:rsidP="00C57520">
      <w:pPr>
        <w:pStyle w:val="Zkladntext"/>
      </w:pPr>
      <w:r>
        <w:t xml:space="preserve">Práce naplňuje po formální stránce požadavky kladené na bakalářskou práci, na její rozsah (36 stran vlastního textu), celkovou logickou výstavbu, uvedenou bibliografii i internetové a jiné mediální zdroje. </w:t>
      </w:r>
    </w:p>
    <w:p w:rsidR="00C57520" w:rsidRDefault="00C57520" w:rsidP="00C57520">
      <w:pPr>
        <w:pStyle w:val="Normlnweb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Tématem práce je problematika kýče v německém a českém kulturním prostoru. Toto téma je časově i regionálně velmi proměnlivé, dotýká se několika vědních oborů (estetika, sociologie, literatura</w:t>
      </w:r>
      <w:r w:rsidR="002973FB">
        <w:rPr>
          <w:rFonts w:ascii="Arial" w:hAnsi="Arial" w:cs="Arial"/>
          <w:color w:val="000000"/>
        </w:rPr>
        <w:t xml:space="preserve">, filozofie, kunsthistorie) </w:t>
      </w:r>
      <w:r>
        <w:rPr>
          <w:rFonts w:ascii="Arial" w:hAnsi="Arial" w:cs="Arial"/>
          <w:color w:val="000000"/>
        </w:rPr>
        <w:t>a je tedy výrazně interdisciplinární</w:t>
      </w:r>
      <w:r w:rsidR="002973FB">
        <w:rPr>
          <w:rFonts w:ascii="Arial" w:hAnsi="Arial" w:cs="Arial"/>
          <w:color w:val="000000"/>
        </w:rPr>
        <w:t xml:space="preserve">. Předložená práce se zabývá zkoumáním fenoménu kýče ve srovnání jeho vnímání v Německu a Čechách. </w:t>
      </w:r>
    </w:p>
    <w:p w:rsidR="00CE4437" w:rsidRDefault="002973FB" w:rsidP="00C57520">
      <w:pPr>
        <w:pStyle w:val="Normlnweb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Autorka zvolila logickou strukturu podle zadání práce se stanovením definic, exkurzem do historie 20. století a výkladem a chápáním pojmu v německém a českém kulturním a estetickém prostředí. V této části práce se autorka opírá o odborné studie z obou  jazykových prostředí, definuje oblasti působení kýče a jeho podřazené pojmy (triviální literatura, </w:t>
      </w:r>
      <w:r w:rsidR="003C5C77">
        <w:rPr>
          <w:rFonts w:ascii="Arial" w:hAnsi="Arial" w:cs="Arial"/>
          <w:color w:val="000000"/>
        </w:rPr>
        <w:t>hudební šlágry a výtvarné umění), zdůvodňuje opodstatnění jeho existence i obtíže jeho přesné definice, objasňuje jeho podstatu (vzbuzování silných emocí, povrchní krásu, výběr typických témat)</w:t>
      </w:r>
      <w:r w:rsidR="00CE4437">
        <w:rPr>
          <w:rFonts w:ascii="Arial" w:hAnsi="Arial" w:cs="Arial"/>
          <w:color w:val="000000"/>
        </w:rPr>
        <w:t>.</w:t>
      </w:r>
    </w:p>
    <w:p w:rsidR="00CE4437" w:rsidRDefault="00CE4437" w:rsidP="00C57520">
      <w:pPr>
        <w:pStyle w:val="Normlnweb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Teoretické poznatky dokázala autorka přenést do konkrétních projevů a sfér výskytu kýče z germanistického úhlu pohledu, což je triviální literatura s nejvýznačnějšími německými autory, hudební  kýč a šlágr či univerzální ztělesnění kýče v německém prostředí, jímž je módní designer Harald </w:t>
      </w:r>
      <w:proofErr w:type="spellStart"/>
      <w:r>
        <w:rPr>
          <w:rFonts w:ascii="Arial" w:hAnsi="Arial" w:cs="Arial"/>
          <w:color w:val="000000"/>
        </w:rPr>
        <w:t>Glööckler</w:t>
      </w:r>
      <w:proofErr w:type="spellEnd"/>
      <w:r>
        <w:rPr>
          <w:rFonts w:ascii="Arial" w:hAnsi="Arial" w:cs="Arial"/>
          <w:color w:val="000000"/>
        </w:rPr>
        <w:t xml:space="preserve"> a jeho úspěšná značka </w:t>
      </w:r>
      <w:proofErr w:type="spellStart"/>
      <w:r>
        <w:rPr>
          <w:rFonts w:ascii="Arial" w:hAnsi="Arial" w:cs="Arial"/>
          <w:color w:val="000000"/>
        </w:rPr>
        <w:t>Pompöös</w:t>
      </w:r>
      <w:proofErr w:type="spellEnd"/>
      <w:r>
        <w:rPr>
          <w:rFonts w:ascii="Arial" w:hAnsi="Arial" w:cs="Arial"/>
          <w:color w:val="000000"/>
        </w:rPr>
        <w:t xml:space="preserve">. </w:t>
      </w:r>
    </w:p>
    <w:p w:rsidR="00CE4437" w:rsidRDefault="00CE4437" w:rsidP="00C57520">
      <w:pPr>
        <w:pStyle w:val="Normlnweb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Další kapitoly doplňují téma práce o další relativně marginální </w:t>
      </w:r>
      <w:r w:rsidR="00746627">
        <w:rPr>
          <w:rFonts w:ascii="Arial" w:hAnsi="Arial" w:cs="Arial"/>
          <w:color w:val="000000"/>
        </w:rPr>
        <w:t xml:space="preserve">projevy a oblasti kýče a spolu se závěrečným shrnutím dotvářejí plastický obraz fenoménu kýč prostupujícím mnoha spektry každodenního života minulosti, současnosti i budoucnosti v obou porovnávaných zemích.  </w:t>
      </w:r>
    </w:p>
    <w:p w:rsidR="00C57520" w:rsidRDefault="00746627" w:rsidP="00C57520">
      <w:pPr>
        <w:pStyle w:val="Normlnweb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Celkové pojetí práce je logické, strukturované, promyšlené, podložené odbornou literaturou a vlastním šetřením, jazykově dobře zvládnuté.</w:t>
      </w:r>
      <w:r w:rsidR="00CE4437">
        <w:rPr>
          <w:rFonts w:ascii="Arial" w:hAnsi="Arial" w:cs="Arial"/>
          <w:color w:val="000000"/>
        </w:rPr>
        <w:t xml:space="preserve"> </w:t>
      </w:r>
      <w:r w:rsidR="00882289">
        <w:rPr>
          <w:rFonts w:ascii="Arial" w:hAnsi="Arial" w:cs="Arial"/>
          <w:color w:val="000000"/>
        </w:rPr>
        <w:t>V práci jsou drobné chyby, které mohou být ale poněkud zavádějící, jako např. záměna letopočtu pro výstavu „</w:t>
      </w:r>
      <w:proofErr w:type="spellStart"/>
      <w:r w:rsidR="00882289">
        <w:rPr>
          <w:rFonts w:ascii="Arial" w:hAnsi="Arial" w:cs="Arial"/>
          <w:color w:val="000000"/>
        </w:rPr>
        <w:t>Geschmacksverirrungen</w:t>
      </w:r>
      <w:proofErr w:type="spellEnd"/>
      <w:r w:rsidR="00882289">
        <w:rPr>
          <w:rFonts w:ascii="Arial" w:hAnsi="Arial" w:cs="Arial"/>
          <w:color w:val="000000"/>
        </w:rPr>
        <w:t xml:space="preserve"> </w:t>
      </w:r>
      <w:proofErr w:type="spellStart"/>
      <w:r w:rsidR="00882289">
        <w:rPr>
          <w:rFonts w:ascii="Arial" w:hAnsi="Arial" w:cs="Arial"/>
          <w:color w:val="000000"/>
        </w:rPr>
        <w:t>im</w:t>
      </w:r>
      <w:proofErr w:type="spellEnd"/>
      <w:r w:rsidR="00882289">
        <w:rPr>
          <w:rFonts w:ascii="Arial" w:hAnsi="Arial" w:cs="Arial"/>
          <w:color w:val="000000"/>
        </w:rPr>
        <w:t xml:space="preserve"> </w:t>
      </w:r>
      <w:proofErr w:type="spellStart"/>
      <w:r w:rsidR="00882289">
        <w:rPr>
          <w:rFonts w:ascii="Arial" w:hAnsi="Arial" w:cs="Arial"/>
          <w:color w:val="000000"/>
        </w:rPr>
        <w:t>Kunstgewerbe</w:t>
      </w:r>
      <w:proofErr w:type="spellEnd"/>
      <w:r w:rsidR="00882289">
        <w:rPr>
          <w:rFonts w:ascii="Arial" w:hAnsi="Arial" w:cs="Arial"/>
          <w:color w:val="000000"/>
        </w:rPr>
        <w:t xml:space="preserve">“ z 1919 na 1990 (str. 15), což je z hlediska chronologie </w:t>
      </w:r>
      <w:r w:rsidR="005B26CB">
        <w:rPr>
          <w:rFonts w:ascii="Arial" w:hAnsi="Arial" w:cs="Arial"/>
          <w:color w:val="000000"/>
        </w:rPr>
        <w:t xml:space="preserve">pojednávaného pojmu </w:t>
      </w:r>
      <w:bookmarkStart w:id="0" w:name="_GoBack"/>
      <w:bookmarkEnd w:id="0"/>
      <w:r w:rsidR="00882289">
        <w:rPr>
          <w:rFonts w:ascii="Arial" w:hAnsi="Arial" w:cs="Arial"/>
          <w:color w:val="000000"/>
        </w:rPr>
        <w:t xml:space="preserve">dost podstatný faktor.  </w:t>
      </w:r>
      <w:r w:rsidR="00CE4437">
        <w:rPr>
          <w:rFonts w:ascii="Arial" w:hAnsi="Arial" w:cs="Arial"/>
          <w:color w:val="000000"/>
        </w:rPr>
        <w:t xml:space="preserve"> </w:t>
      </w:r>
      <w:r w:rsidR="003C5C77">
        <w:rPr>
          <w:rFonts w:ascii="Arial" w:hAnsi="Arial" w:cs="Arial"/>
          <w:color w:val="000000"/>
        </w:rPr>
        <w:t xml:space="preserve"> </w:t>
      </w:r>
      <w:r w:rsidR="002973FB">
        <w:rPr>
          <w:rFonts w:ascii="Arial" w:hAnsi="Arial" w:cs="Arial"/>
          <w:color w:val="000000"/>
        </w:rPr>
        <w:t xml:space="preserve"> </w:t>
      </w:r>
    </w:p>
    <w:p w:rsidR="00C57520" w:rsidRDefault="00C57520" w:rsidP="00C57520">
      <w:pPr>
        <w:jc w:val="both"/>
        <w:rPr>
          <w:b w:val="0"/>
          <w:bCs w:val="0"/>
        </w:rPr>
      </w:pPr>
      <w:r>
        <w:t>Hodnocení:</w:t>
      </w:r>
      <w:r>
        <w:rPr>
          <w:b w:val="0"/>
          <w:bCs w:val="0"/>
        </w:rPr>
        <w:t xml:space="preserve">   Bakalářská práce je hodnocena známkou </w:t>
      </w:r>
      <w:r w:rsidR="00882289">
        <w:t>1</w:t>
      </w:r>
      <w:r w:rsidR="00DF2027">
        <w:t>-</w:t>
      </w:r>
      <w:r>
        <w:t xml:space="preserve"> (</w:t>
      </w:r>
      <w:r w:rsidR="00882289">
        <w:t>B</w:t>
      </w:r>
      <w:r w:rsidR="00746627">
        <w:t xml:space="preserve">, </w:t>
      </w:r>
      <w:r>
        <w:t>v</w:t>
      </w:r>
      <w:r w:rsidR="00882289">
        <w:t>ýborně</w:t>
      </w:r>
      <w:r w:rsidR="00DF2027">
        <w:t xml:space="preserve"> minus</w:t>
      </w:r>
      <w:r>
        <w:t>)</w:t>
      </w:r>
      <w:r>
        <w:rPr>
          <w:b w:val="0"/>
          <w:bCs w:val="0"/>
        </w:rPr>
        <w:t xml:space="preserve">. </w:t>
      </w:r>
    </w:p>
    <w:p w:rsidR="00C57520" w:rsidRDefault="00C57520" w:rsidP="00C57520">
      <w:pPr>
        <w:pStyle w:val="Nzev"/>
        <w:jc w:val="left"/>
        <w:rPr>
          <w:b w:val="0"/>
          <w:bCs w:val="0"/>
        </w:rPr>
      </w:pPr>
    </w:p>
    <w:p w:rsidR="00C57520" w:rsidRDefault="00C57520" w:rsidP="00C57520">
      <w:pPr>
        <w:pStyle w:val="Nzev"/>
        <w:jc w:val="left"/>
        <w:rPr>
          <w:b w:val="0"/>
          <w:bCs w:val="0"/>
        </w:rPr>
      </w:pPr>
    </w:p>
    <w:p w:rsidR="00C57520" w:rsidRDefault="00C57520" w:rsidP="00C57520">
      <w:pPr>
        <w:pStyle w:val="Nzev"/>
        <w:jc w:val="left"/>
        <w:rPr>
          <w:b w:val="0"/>
          <w:bCs w:val="0"/>
        </w:rPr>
      </w:pPr>
      <w:r>
        <w:rPr>
          <w:b w:val="0"/>
          <w:bCs w:val="0"/>
        </w:rPr>
        <w:t xml:space="preserve">Pardubice </w:t>
      </w:r>
      <w:proofErr w:type="gramStart"/>
      <w:r>
        <w:rPr>
          <w:b w:val="0"/>
          <w:bCs w:val="0"/>
        </w:rPr>
        <w:t>1</w:t>
      </w:r>
      <w:r w:rsidR="00882289">
        <w:rPr>
          <w:b w:val="0"/>
          <w:bCs w:val="0"/>
        </w:rPr>
        <w:t>7</w:t>
      </w:r>
      <w:r>
        <w:rPr>
          <w:b w:val="0"/>
          <w:bCs w:val="0"/>
        </w:rPr>
        <w:t>.</w:t>
      </w:r>
      <w:r w:rsidR="00882289">
        <w:rPr>
          <w:b w:val="0"/>
          <w:bCs w:val="0"/>
        </w:rPr>
        <w:t>8</w:t>
      </w:r>
      <w:r>
        <w:rPr>
          <w:b w:val="0"/>
          <w:bCs w:val="0"/>
        </w:rPr>
        <w:t>.2019</w:t>
      </w:r>
      <w:proofErr w:type="gramEnd"/>
      <w:r>
        <w:rPr>
          <w:b w:val="0"/>
          <w:bCs w:val="0"/>
        </w:rPr>
        <w:t xml:space="preserve">                                                  Jan Čapek</w:t>
      </w:r>
    </w:p>
    <w:p w:rsidR="00FE2002" w:rsidRDefault="00FE2002"/>
    <w:sectPr w:rsidR="00FE20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7520"/>
    <w:rsid w:val="002973FB"/>
    <w:rsid w:val="003C5C77"/>
    <w:rsid w:val="005B26CB"/>
    <w:rsid w:val="00746627"/>
    <w:rsid w:val="00882289"/>
    <w:rsid w:val="00C57520"/>
    <w:rsid w:val="00CE4437"/>
    <w:rsid w:val="00DF2027"/>
    <w:rsid w:val="00FE2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82FBB"/>
  <w15:chartTrackingRefBased/>
  <w15:docId w15:val="{952210FD-3D3C-4A2F-8657-94EBEB03B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57520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C57520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Cs w:val="24"/>
    </w:rPr>
  </w:style>
  <w:style w:type="paragraph" w:styleId="Nzev">
    <w:name w:val="Title"/>
    <w:basedOn w:val="Normln"/>
    <w:link w:val="NzevChar"/>
    <w:uiPriority w:val="99"/>
    <w:qFormat/>
    <w:rsid w:val="00C57520"/>
    <w:pPr>
      <w:jc w:val="center"/>
    </w:pPr>
  </w:style>
  <w:style w:type="character" w:customStyle="1" w:styleId="NzevChar">
    <w:name w:val="Název Char"/>
    <w:basedOn w:val="Standardnpsmoodstavce"/>
    <w:link w:val="Nzev"/>
    <w:uiPriority w:val="99"/>
    <w:rsid w:val="00C57520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C57520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C57520"/>
    <w:rPr>
      <w:rFonts w:ascii="Arial" w:eastAsia="Times New Roman" w:hAnsi="Arial" w:cs="Arial"/>
      <w:sz w:val="24"/>
      <w:szCs w:val="3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202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2027"/>
    <w:rPr>
      <w:rFonts w:ascii="Segoe UI" w:eastAsia="Times New Roman" w:hAnsi="Segoe UI" w:cs="Segoe UI"/>
      <w:b/>
      <w:bCs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73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349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3</cp:revision>
  <cp:lastPrinted>2019-05-15T12:51:00Z</cp:lastPrinted>
  <dcterms:created xsi:type="dcterms:W3CDTF">2019-05-09T21:02:00Z</dcterms:created>
  <dcterms:modified xsi:type="dcterms:W3CDTF">2019-08-16T20:09:00Z</dcterms:modified>
</cp:coreProperties>
</file>