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BED" w:rsidRDefault="00571BED" w:rsidP="00571BED">
      <w:pPr>
        <w:rPr>
          <w:b/>
          <w:sz w:val="28"/>
          <w:szCs w:val="28"/>
        </w:rPr>
      </w:pPr>
      <w:r w:rsidRPr="00567DEB">
        <w:rPr>
          <w:b/>
          <w:sz w:val="28"/>
          <w:szCs w:val="28"/>
        </w:rPr>
        <w:t xml:space="preserve">Oponentský posudek na bakalářskou práci </w:t>
      </w:r>
      <w:r>
        <w:rPr>
          <w:b/>
          <w:sz w:val="28"/>
          <w:szCs w:val="28"/>
        </w:rPr>
        <w:t>Veroniky Pchálkové</w:t>
      </w:r>
      <w:r w:rsidRPr="00567DEB">
        <w:rPr>
          <w:b/>
          <w:sz w:val="28"/>
          <w:szCs w:val="28"/>
        </w:rPr>
        <w:t xml:space="preserve">: </w:t>
      </w:r>
      <w:r>
        <w:rPr>
          <w:b/>
          <w:sz w:val="28"/>
          <w:szCs w:val="28"/>
        </w:rPr>
        <w:t>Gotické a renesanční kachle z pardubického zámku. Vybrané soubory ze sbírek VČM Pardubice</w:t>
      </w:r>
      <w:r w:rsidRPr="00567DEB">
        <w:rPr>
          <w:b/>
          <w:sz w:val="28"/>
          <w:szCs w:val="28"/>
        </w:rPr>
        <w:t>. Bakalářská práce. Ústav historických věd. Filozofická fakulta. Univerzita Pardubice. Pardubice 201</w:t>
      </w:r>
      <w:r>
        <w:rPr>
          <w:b/>
          <w:sz w:val="28"/>
          <w:szCs w:val="28"/>
        </w:rPr>
        <w:t>8</w:t>
      </w:r>
      <w:r w:rsidRPr="00567DEB">
        <w:rPr>
          <w:b/>
          <w:sz w:val="28"/>
          <w:szCs w:val="28"/>
        </w:rPr>
        <w:t>.</w:t>
      </w:r>
    </w:p>
    <w:p w:rsidR="00571BED" w:rsidRDefault="00571BED" w:rsidP="00571BED">
      <w:pPr>
        <w:rPr>
          <w:b/>
          <w:sz w:val="28"/>
          <w:szCs w:val="28"/>
        </w:rPr>
      </w:pPr>
    </w:p>
    <w:p w:rsidR="00571BED" w:rsidRDefault="00571BED" w:rsidP="00571BED">
      <w:r w:rsidRPr="00567DEB">
        <w:t>Oponent: Jan Musil</w:t>
      </w:r>
    </w:p>
    <w:p w:rsidR="00571BED" w:rsidRPr="00567DEB" w:rsidRDefault="00571BED" w:rsidP="00571BED">
      <w:r>
        <w:t>Text: 1-160; Exkurz: Ostatní nálezy z výzkumu P. Sommera: 161-191; Mapky a plánová dokumentace: 2; Fotografická a kresebná dokumentace: 112.</w:t>
      </w:r>
    </w:p>
    <w:p w:rsidR="00571BED" w:rsidRPr="003F2D38" w:rsidRDefault="00571BED" w:rsidP="00571BED">
      <w:r w:rsidRPr="003F2D38">
        <w:t xml:space="preserve">Úvod (s. 1); </w:t>
      </w:r>
      <w:r w:rsidRPr="00EF0324">
        <w:t xml:space="preserve">Dějiny města Pardubice (s. 2-5); Dějiny bádání (s. 6-7); Kamna (s. 8-13); Kachle (s. 14-17); Výroba, dílna a nástroje (s. 18-22); Katalog (s. 23-113); Rekonstrukce (s. 115-148); Záchytné otvory (s. 152), Otisky textilie (s. 152-157); Vyhodnocení souborů (s. 158-159);  Závěr (s. 160); Conclusion (s. 160); Ostatní nálezy z výzkumu </w:t>
      </w:r>
      <w:r>
        <w:t>P. S</w:t>
      </w:r>
      <w:r w:rsidRPr="00EF0324">
        <w:t>ommera (s. 161-191); Mapy (s. 192); Seznam zkratek (s. 193) Přehled literatury (s. 194-196).</w:t>
      </w:r>
    </w:p>
    <w:p w:rsidR="00571BED" w:rsidRPr="003F2D38" w:rsidRDefault="00571BED" w:rsidP="00571BED">
      <w:pPr>
        <w:ind w:firstLine="708"/>
      </w:pPr>
      <w:r w:rsidRPr="003F2D38">
        <w:t xml:space="preserve">Téma bakalářské práce vyplývá již z jejího názvu. Autorka se věnovala zpracování </w:t>
      </w:r>
      <w:r>
        <w:t xml:space="preserve">vybraných souborů </w:t>
      </w:r>
      <w:r w:rsidRPr="003F2D38">
        <w:t xml:space="preserve">nálezů </w:t>
      </w:r>
      <w:r>
        <w:t>gotických a renesančních kamnových kachlů z pardubického zámku. Jednalo se o soubory nálezů z výzkumů P. Sommera</w:t>
      </w:r>
      <w:r w:rsidRPr="002455C5">
        <w:t xml:space="preserve"> </w:t>
      </w:r>
      <w:r>
        <w:t xml:space="preserve">a M. Cejpové z let 1970 a 1986. </w:t>
      </w:r>
    </w:p>
    <w:p w:rsidR="00571BED" w:rsidRDefault="00571BED" w:rsidP="00571BED">
      <w:pPr>
        <w:ind w:firstLine="708"/>
      </w:pPr>
      <w:r w:rsidRPr="002836AE">
        <w:t>V poměrně subtilní, až heslovité úvodní kapitole autorka nastínila základní cíle práce, a to zpracovat a vyhodnotit část archeologických nálezů kachlů získaných při výzkumech P.</w:t>
      </w:r>
      <w:r>
        <w:t xml:space="preserve"> Sommera</w:t>
      </w:r>
      <w:r w:rsidRPr="002455C5">
        <w:t xml:space="preserve"> </w:t>
      </w:r>
      <w:r>
        <w:t xml:space="preserve">a M. Cejpové z let 1970 a 1986. Nálezy byly popsány z hlediska ikonografického, technologického a zařazeny do širších souvislostí. V případě, že se podařilo autorce určit ikonografický motiv, byl proveden pokus o jeho celkovou rekonstrukci na základě dalších analogií. </w:t>
      </w:r>
      <w:r w:rsidRPr="009D6194">
        <w:t>Kapitola druhá je věnována nastínění dějin Pardubic od pravěku po prodej pardubického panství králi Ferdinandu I. Při pasní této kapitoly vycházela autorka pouze z přehledného díla autorského kolektivu pod vedením F. Šebka (1990) a nevyužila novějších prací historického a archeologického charakteru.</w:t>
      </w:r>
      <w:r>
        <w:t xml:space="preserve"> Následuje kapitola věnovaná dějinám studia kamnových kachlů, kde je podán i základní výčet domácí literatury včetně novějších prací. Poněkud nepatřičně působí odkazy na mírně antikvovanou literaturu zahraniční, navíc přejatou ze starší publikace J. Richterové (1982). Dokumentaci kachlů se tedy nezabýval Dabrowsky (s. 7), ale M. Dąbrowska (1976).</w:t>
      </w:r>
    </w:p>
    <w:p w:rsidR="00571BED" w:rsidRDefault="00571BED" w:rsidP="00571BED">
      <w:pPr>
        <w:ind w:firstLine="708"/>
      </w:pPr>
      <w:r>
        <w:t>Další kapitola nazvaná stručně „Kamna“, dělená do dílčích subkapitol, podává stručný přehled vývoje otopných zařízení s přihlédnutím ke kachlovým kamnům (kap. 4.1), stručně se dotýká otázce jejich původu (kap. 4.2), konstrukce (kap. 4.3), vývoje jejich vzhledu (kap. 4.4.). Na tomto místě by patrně stálo za vysvětlení, co je přesně míněno větou „</w:t>
      </w:r>
      <w:r w:rsidRPr="00682D59">
        <w:rPr>
          <w:i/>
        </w:rPr>
        <w:t xml:space="preserve">Kamna se tak stávají </w:t>
      </w:r>
      <w:r>
        <w:t xml:space="preserve">/rozuměno patrně ve 2. pol. 15. století – pozn. JM/ </w:t>
      </w:r>
      <w:r w:rsidRPr="00682D59">
        <w:rPr>
          <w:i/>
        </w:rPr>
        <w:t>typickou součástí obydlí širších měšťanských a vesnických vrstev.</w:t>
      </w:r>
      <w:r>
        <w:t xml:space="preserve">“ (s. 10). V měšťanských domácnostech lze toto tvrzení zcela akceptovat, ale ve venkovském prostoru tomu tak v této době rozhodně nebylo. Rovněž místo názvu </w:t>
      </w:r>
      <w:r w:rsidRPr="00D335C3">
        <w:rPr>
          <w:i/>
        </w:rPr>
        <w:t>Vzhledový vývoj kamen</w:t>
      </w:r>
      <w:r>
        <w:t xml:space="preserve"> by možná více vyhovoval termín </w:t>
      </w:r>
      <w:r w:rsidRPr="00D335C3">
        <w:rPr>
          <w:i/>
        </w:rPr>
        <w:t>stylový vývoj</w:t>
      </w:r>
      <w:r>
        <w:rPr>
          <w:i/>
        </w:rPr>
        <w:t xml:space="preserve">. </w:t>
      </w:r>
      <w:r>
        <w:t xml:space="preserve"> Taktéž nemůžeme souhlasit s tvrzením, že novinkou renesanční kachlové produkce by bylo glazování. </w:t>
      </w:r>
    </w:p>
    <w:p w:rsidR="00571BED" w:rsidRDefault="00571BED" w:rsidP="00571BED">
      <w:pPr>
        <w:ind w:firstLine="708"/>
      </w:pPr>
      <w:r>
        <w:t xml:space="preserve">Kapitola pátá je věnována terminologickým aspektům, přičemž je navázáno na tradiční klasifikaci Z. Smetánky (1969), kterou autorka dále detailněji nerozpracovává. Kapitola šestá </w:t>
      </w:r>
      <w:r>
        <w:lastRenderedPageBreak/>
        <w:t>je věnována procesu výroby a kamnářství jako takovému. V subkapitole věnované známým kamnářům jsou jmenováni pouze dva – Jan Medek a Adam Špaček. Proč pouze oni dva? Opět dovolím si poznámku, chrudimský kamnář Jan Medek negramotný nebyl, své kachle signoval nejen iniciálami ale i celou větou. Pro vyvarování takových zbytečných chyb by autorka v budoucnu měla užít primární studii věnovanou tomuto kamnáři, a ne komolený sekundární pramen.</w:t>
      </w:r>
    </w:p>
    <w:p w:rsidR="00571BED" w:rsidRDefault="00571BED" w:rsidP="00571BED">
      <w:pPr>
        <w:ind w:firstLine="708"/>
      </w:pPr>
      <w:r>
        <w:t xml:space="preserve">Nosnou částí práce je katalog (kap. 7), který je koncipován tak, aby tvořil nedílnou část textové části bakalářské práce. Jednotlivá hesla mají přesně stanovenou strukturu, typologické zařazení je provedeno podle Z. Smetánky (1969), řazení jednotlivých ikonografických motivů vychází podle autorčina tvrzení z katalogu V. Brycha (2004), ačkoliv v rámci jednotlivých skupin (např. náboženské) nenalezneme další členění (např. na starozákonní, novozákonní, světce apod.). Mezi neurčenými motivy zůstává např. položka č. 122, na které je zobrazena oběť Abrahámova. U nápisových pásek nebyla provedena transkripce, ani poznámka zda nápis dává či nedává smysl, popř. zdali je zrcadlově obrácený. Přímo pod katalogovým heslem se nalézá kombinovaná kresebná a fotografická dokumentace jednotlivých zlomků obsahující i grafické měřítko. </w:t>
      </w:r>
    </w:p>
    <w:p w:rsidR="00571BED" w:rsidRDefault="00571BED" w:rsidP="00571BED">
      <w:pPr>
        <w:ind w:firstLine="708"/>
      </w:pPr>
      <w:r>
        <w:t xml:space="preserve">Vlastní vyhodnocení jednotlivých ikonografických motivů nalezneme v kap. 8, která je nazvána ne úplně šťastně jako „Rekonstrukce“. Ona „rekonstrukce“ je autorkou podána formou popisu ikonografického motivu, přičemž zachovává nešvar ze své katalogové části. Při popisu jednotlivých ikonografických motivů vychází takřka výlučně z encyklopedického díla Č. Pavlíka a M. Vitanovského (2004), který není vždy tím nejspolehlivějším. Jako příklad lze uvést i analýzu skupinu ikonografických motivů se starozákonními proroky (srov. Frolík – Musil 2016). Nemůžeme také souhlasit, že reliéf hroznů je zpodobněn ve vývalku, ale ve výžlabku (s. 141). Jedná se o specifickou geograficky omezenou skupinu tzv. výžlabkových kachlů s produkční oblastí mezi Chotěboří, Ledčí nad Sázavou a Kutnou Horou (Musil 2013). </w:t>
      </w:r>
    </w:p>
    <w:p w:rsidR="00571BED" w:rsidRDefault="00571BED" w:rsidP="00571BED">
      <w:pPr>
        <w:ind w:firstLine="708"/>
      </w:pPr>
      <w:r>
        <w:t>Další dvě kapitoly (kap. 9 a 10) jsou věnovány technologickým stopám. S velmi hrubými nárysy sumarizace se setkáme v kap. 11. Sumarizovány jsou ovšem jednotlivé zlomky a jejich příslušnost k jednotlivým typům kachlů, nikoliv např. podle zastoupení jednotlivých ikonografických motivů. Nevětší slabinou je v našem případě absence popisu nálezové situace, která by mohla napomoci zúžit poměrně široký datační interval nalezených zlomků kachlů. Dalším problémem je datování, přičemž nejsou uvedeny analogie z nejbližšího okolí (Frolík 2003; Frolík – Musil 2016).</w:t>
      </w:r>
    </w:p>
    <w:p w:rsidR="00571BED" w:rsidRDefault="00571BED" w:rsidP="00571BED">
      <w:pPr>
        <w:ind w:firstLine="708"/>
      </w:pPr>
      <w:r>
        <w:t xml:space="preserve">Největším přínosem práce je detailně provedený katalog s velmi kvalitními přílohami, který snese srovnání se standardními katalogy kachlů (srov. např. Brych 2004) a zaslouží si v budoucnu publikování. </w:t>
      </w:r>
    </w:p>
    <w:p w:rsidR="00571BED" w:rsidRPr="00EF0324" w:rsidRDefault="00571BED" w:rsidP="00571BED">
      <w:pPr>
        <w:ind w:firstLine="567"/>
        <w:rPr>
          <w:highlight w:val="yellow"/>
        </w:rPr>
      </w:pPr>
      <w:r w:rsidRPr="00DF4250">
        <w:t xml:space="preserve">Práce naplňuje předepsanou délku, nacházíme však několik neúplných stran. Katalog je integrován do textové části i s většinou obrazové přílohy. </w:t>
      </w:r>
      <w:r w:rsidRPr="009D6194">
        <w:t>Práce obsahuje menší množství gramatických chyb a překlepů</w:t>
      </w:r>
      <w:r>
        <w:t xml:space="preserve"> („skombinovat“ – s. 19; „vyplívá“ – s. 160).. Zejména se to týká psaní velkých písmen</w:t>
      </w:r>
      <w:r w:rsidRPr="009D6194">
        <w:t xml:space="preserve"> </w:t>
      </w:r>
      <w:r w:rsidRPr="002C7041">
        <w:t>(např.</w:t>
      </w:r>
      <w:r w:rsidRPr="009D6194">
        <w:rPr>
          <w:i/>
        </w:rPr>
        <w:t xml:space="preserve"> „cyriakové“ </w:t>
      </w:r>
      <w:r w:rsidRPr="009D6194">
        <w:t>opakovaně s velkým písmenem uprostřed věty</w:t>
      </w:r>
      <w:r w:rsidRPr="009D6194">
        <w:rPr>
          <w:i/>
        </w:rPr>
        <w:t xml:space="preserve"> </w:t>
      </w:r>
      <w:r w:rsidRPr="009D6194">
        <w:t xml:space="preserve">- s. 2-3; </w:t>
      </w:r>
      <w:r w:rsidRPr="009D6194">
        <w:rPr>
          <w:i/>
        </w:rPr>
        <w:t>Východní Čechy – s. 4;</w:t>
      </w:r>
      <w:r>
        <w:rPr>
          <w:i/>
        </w:rPr>
        <w:t xml:space="preserve"> České Republiky  - s. 6;  </w:t>
      </w:r>
      <w:r w:rsidRPr="00D335C3">
        <w:t xml:space="preserve">názvy slohů </w:t>
      </w:r>
      <w:r>
        <w:t>–</w:t>
      </w:r>
      <w:r w:rsidRPr="00D335C3">
        <w:t xml:space="preserve"> </w:t>
      </w:r>
      <w:r>
        <w:rPr>
          <w:i/>
        </w:rPr>
        <w:t>Gotika, Renesance, Rokoko, Klasicismus, Romantismus, Historismus, Secese - s. 13-14</w:t>
      </w:r>
      <w:r w:rsidRPr="009D6194">
        <w:t>)</w:t>
      </w:r>
      <w:r>
        <w:t>, ve shodě přísudku s podnětem („</w:t>
      </w:r>
      <w:r w:rsidRPr="00D335C3">
        <w:rPr>
          <w:i/>
        </w:rPr>
        <w:t xml:space="preserve">Nejstarší zástupce vůbec je datována </w:t>
      </w:r>
      <w:r>
        <w:t>...“ - s. 12)</w:t>
      </w:r>
      <w:r w:rsidRPr="009D6194">
        <w:t xml:space="preserve"> </w:t>
      </w:r>
      <w:r w:rsidRPr="009553A7">
        <w:t xml:space="preserve">a ojedinělými neobratnými formulacemi </w:t>
      </w:r>
      <w:r w:rsidRPr="00DF4250">
        <w:t>(„</w:t>
      </w:r>
      <w:r w:rsidRPr="00DF4250">
        <w:rPr>
          <w:i/>
        </w:rPr>
        <w:t>Z</w:t>
      </w:r>
      <w:r>
        <w:rPr>
          <w:i/>
        </w:rPr>
        <w:t>e</w:t>
      </w:r>
      <w:r w:rsidRPr="00DF4250">
        <w:rPr>
          <w:i/>
        </w:rPr>
        <w:t xml:space="preserve"> středověkých kamen se do naší doby nedochoval ani jeden exemplář“</w:t>
      </w:r>
      <w:r w:rsidRPr="00DF4250">
        <w:t xml:space="preserve"> – s. 10). </w:t>
      </w:r>
    </w:p>
    <w:p w:rsidR="00571BED" w:rsidRDefault="00571BED" w:rsidP="00571BED">
      <w:pPr>
        <w:ind w:firstLine="708"/>
      </w:pPr>
      <w:r w:rsidRPr="00DF4250">
        <w:lastRenderedPageBreak/>
        <w:t>Práce splnila sledované zadání a cíle. Shrnula velké množství informací, které utřídila a částečně analyzovala, čímž zvládla postupy pro zpracování a vyhodnocení archeologických movitých nálezů. Množství shromážděných a kvalitně utříděných informací bude možné využít pro prohloubení eventuálního dalšího studia. Z formálních nedostatků je nutno vytknout neužívání zkrácených citací v poznámkovém aparátu práce, stránkování u článků v soupisu literatury (ačkoliv v poznámkách pod čarou je uváděno).</w:t>
      </w:r>
    </w:p>
    <w:p w:rsidR="00571BED" w:rsidRPr="00DF4250" w:rsidRDefault="00571BED" w:rsidP="00571BED">
      <w:pPr>
        <w:ind w:firstLine="708"/>
      </w:pPr>
      <w:r>
        <w:t>Předloženou práci doporučuji k obhajobě a navrhuji hodnocení „C“.</w:t>
      </w:r>
    </w:p>
    <w:p w:rsidR="00571BED" w:rsidRDefault="00571BED" w:rsidP="00571BED"/>
    <w:p w:rsidR="00571BED" w:rsidRDefault="00571BED" w:rsidP="00571BED"/>
    <w:p w:rsidR="00571BED" w:rsidRDefault="00571BED" w:rsidP="00571BED">
      <w:r>
        <w:t>V Chrudimi 6. 8. 2018.                                        PhDr. Jan Musil.</w:t>
      </w:r>
      <w:r w:rsidRPr="00D2313E">
        <w:t xml:space="preserve"> </w:t>
      </w:r>
    </w:p>
    <w:p w:rsidR="00571BED" w:rsidRDefault="00571BED" w:rsidP="00571BED"/>
    <w:p w:rsidR="00571BED" w:rsidRDefault="00571BED" w:rsidP="00571BED"/>
    <w:p w:rsidR="00571BED" w:rsidRDefault="00571BED" w:rsidP="00571BED">
      <w:r>
        <w:t>Použitá literatura</w:t>
      </w:r>
    </w:p>
    <w:p w:rsidR="00571BED" w:rsidRDefault="00571BED" w:rsidP="00571BED">
      <w:r>
        <w:t>Brych, V. 2004: Kachle doby gotické, renesanční a raně barokní. Praha.</w:t>
      </w:r>
    </w:p>
    <w:p w:rsidR="00571BED" w:rsidRDefault="00571BED" w:rsidP="00571BED">
      <w:r>
        <w:t>Dąbrowska M. 1976: Próba systematyki kafli i metody ich dokumentacji, Biuletin informacyjny PKZ 32, 74-81.</w:t>
      </w:r>
    </w:p>
    <w:p w:rsidR="00571BED" w:rsidRDefault="00571BED" w:rsidP="00571BED">
      <w:r>
        <w:t>Frolík, J. 2003: Kachle Chrudimska. Chrudim.</w:t>
      </w:r>
    </w:p>
    <w:p w:rsidR="00571BED" w:rsidRDefault="00571BED" w:rsidP="00571BED">
      <w:r>
        <w:t>Frolík, J. – Musil, J. 2016: Katalog archeologických nálezů z hradu Košumberka. 2. díl: Kamnové kachle. Část první. Chrudim.</w:t>
      </w:r>
    </w:p>
    <w:p w:rsidR="00571BED" w:rsidRDefault="00571BED" w:rsidP="00571BED">
      <w:r>
        <w:t xml:space="preserve">Musil, J. 2013: </w:t>
      </w:r>
      <w:r w:rsidRPr="00373AAB">
        <w:t>Soubor výžlabkových kachlů z Chotěboře. Příspěvek k rozšíření jedné skupiny pozdně středověkých kachlů, Havlíčkobrodsko 27, 183-199</w:t>
      </w:r>
      <w:r>
        <w:t>.</w:t>
      </w:r>
    </w:p>
    <w:p w:rsidR="00571BED" w:rsidRDefault="00571BED" w:rsidP="00571BED">
      <w:r>
        <w:t xml:space="preserve">Pavlík, Č. – Vítanovský, M.: 2004: Encyklopedie kachlů v Čechách, na Moravě a ve Slezsku. Praha. </w:t>
      </w:r>
    </w:p>
    <w:p w:rsidR="00571BED" w:rsidRDefault="00571BED" w:rsidP="00571BED">
      <w:r>
        <w:t>Richterová, J. 1982: Středověké kachle. Praha.</w:t>
      </w:r>
    </w:p>
    <w:p w:rsidR="00571BED" w:rsidRDefault="00571BED" w:rsidP="00571BED">
      <w:r>
        <w:t>Smetánka, Z. 1969: K morfologii českých středověkých kachlů, Památky archeologické 60, 228-265.</w:t>
      </w:r>
    </w:p>
    <w:p w:rsidR="00571BED" w:rsidRDefault="00571BED" w:rsidP="00571BED">
      <w:r>
        <w:t>Šebek, F. a kol. 1990: Dějiny Pardubic. Pardubice.</w:t>
      </w:r>
    </w:p>
    <w:p w:rsidR="00BA1DC2" w:rsidRDefault="00BA1DC2">
      <w:bookmarkStart w:id="0" w:name="_GoBack"/>
      <w:bookmarkEnd w:id="0"/>
    </w:p>
    <w:sectPr w:rsidR="00BA1D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BED"/>
    <w:rsid w:val="00571BED"/>
    <w:rsid w:val="00BA1DC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Zákl Musil"/>
    <w:qFormat/>
    <w:rsid w:val="00571BED"/>
    <w:pPr>
      <w:spacing w:after="160" w:line="259" w:lineRule="auto"/>
      <w:jc w:val="both"/>
    </w:pPr>
    <w:rPr>
      <w:rFonts w:ascii="Times New Roman" w:eastAsia="Calibri" w:hAnsi="Times New Roman"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Zákl Musil"/>
    <w:qFormat/>
    <w:rsid w:val="00571BED"/>
    <w:pPr>
      <w:spacing w:after="160" w:line="259" w:lineRule="auto"/>
      <w:jc w:val="both"/>
    </w:pPr>
    <w:rPr>
      <w:rFonts w:ascii="Times New Roman" w:eastAsia="Calibri" w:hAnsi="Times New Roman"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1188</Words>
  <Characters>7013</Characters>
  <Application>Microsoft Office Word</Application>
  <DocSecurity>0</DocSecurity>
  <Lines>58</Lines>
  <Paragraphs>16</Paragraphs>
  <ScaleCrop>false</ScaleCrop>
  <Company>Univerzita Pardubice</Company>
  <LinksUpToDate>false</LinksUpToDate>
  <CharactersWithSpaces>8185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2018-08-08T07:41:00Z</dcterms:created>
  <dcterms:modified xsi:type="dcterms:W3CDTF">2018-08-08T07:42:00Z</dcterms:modified>
</cp:coreProperties>
</file>