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3B69" w:rsidRPr="00EA4C9C" w:rsidRDefault="00BA3B69" w:rsidP="00BA3B69">
      <w:pPr>
        <w:ind w:left="-851" w:hanging="142"/>
        <w:jc w:val="center"/>
        <w:rPr>
          <w:rFonts w:ascii="Book Antiqua" w:hAnsi="Book Antiqua"/>
          <w:sz w:val="22"/>
          <w:szCs w:val="22"/>
        </w:rPr>
      </w:pPr>
      <w:r w:rsidRPr="00EA4C9C">
        <w:rPr>
          <w:rFonts w:ascii="Book Antiqua" w:hAnsi="Book Antiqua"/>
          <w:sz w:val="22"/>
          <w:szCs w:val="22"/>
        </w:rPr>
        <w:t>Univerzita Pardubice – Fakulta filozofická – KLKS</w:t>
      </w:r>
    </w:p>
    <w:p w:rsidR="00BA3B69" w:rsidRPr="00EA4C9C" w:rsidRDefault="00BA3B69" w:rsidP="00BA3B69">
      <w:pPr>
        <w:rPr>
          <w:rFonts w:ascii="Book Antiqua" w:hAnsi="Book Antiqua"/>
        </w:rPr>
      </w:pPr>
    </w:p>
    <w:p w:rsidR="00BA3B69" w:rsidRPr="00EA4C9C" w:rsidRDefault="00BA3B69" w:rsidP="00BA3B69">
      <w:pPr>
        <w:snapToGrid w:val="0"/>
        <w:rPr>
          <w:rFonts w:ascii="Book Antiqua" w:hAnsi="Book Antiqua"/>
          <w:b/>
          <w:bCs/>
          <w:sz w:val="22"/>
          <w:szCs w:val="22"/>
        </w:rPr>
      </w:pPr>
      <w:r w:rsidRPr="00EA4C9C">
        <w:rPr>
          <w:rFonts w:ascii="Book Antiqua" w:hAnsi="Book Antiqua"/>
          <w:b/>
          <w:bCs/>
          <w:sz w:val="22"/>
          <w:szCs w:val="22"/>
        </w:rPr>
        <w:t>Posudek vedoucího diplomové práce – akademický rok 2014/2015</w:t>
      </w:r>
    </w:p>
    <w:p w:rsidR="00BA3B69" w:rsidRPr="00EA4C9C" w:rsidRDefault="00BA3B69" w:rsidP="00BA3B69">
      <w:pPr>
        <w:rPr>
          <w:rFonts w:ascii="Book Antiqua" w:hAnsi="Book Antiqua"/>
        </w:rPr>
      </w:pPr>
    </w:p>
    <w:p w:rsidR="00BA3B69" w:rsidRPr="00EA4C9C" w:rsidRDefault="00BA3B69" w:rsidP="00BA3B69">
      <w:pPr>
        <w:snapToGrid w:val="0"/>
        <w:spacing w:line="360" w:lineRule="auto"/>
        <w:rPr>
          <w:rFonts w:ascii="Book Antiqua" w:hAnsi="Book Antiqua"/>
          <w:sz w:val="22"/>
          <w:szCs w:val="22"/>
        </w:rPr>
      </w:pPr>
      <w:r w:rsidRPr="00EA4C9C">
        <w:rPr>
          <w:rFonts w:ascii="Book Antiqua" w:hAnsi="Book Antiqua"/>
          <w:sz w:val="22"/>
          <w:szCs w:val="22"/>
        </w:rPr>
        <w:t>Autor práce: Bc. Miroslav Ceral</w:t>
      </w:r>
    </w:p>
    <w:p w:rsidR="00BA3B69" w:rsidRPr="00EA4C9C" w:rsidRDefault="00BA3B69" w:rsidP="00BA3B69">
      <w:pPr>
        <w:spacing w:line="360" w:lineRule="auto"/>
        <w:rPr>
          <w:rFonts w:ascii="Book Antiqua" w:hAnsi="Book Antiqua"/>
          <w:sz w:val="22"/>
          <w:szCs w:val="22"/>
        </w:rPr>
      </w:pPr>
      <w:r w:rsidRPr="00EA4C9C">
        <w:rPr>
          <w:rFonts w:ascii="Book Antiqua" w:hAnsi="Book Antiqua"/>
          <w:sz w:val="22"/>
          <w:szCs w:val="22"/>
        </w:rPr>
        <w:t>Studijní obor: Kulturní dějiny - KHS</w:t>
      </w:r>
    </w:p>
    <w:p w:rsidR="00BA3B69" w:rsidRPr="00EA4C9C" w:rsidRDefault="00BA3B69" w:rsidP="00BA3B69">
      <w:pPr>
        <w:spacing w:line="360" w:lineRule="auto"/>
        <w:rPr>
          <w:rFonts w:ascii="Book Antiqua" w:hAnsi="Book Antiqua"/>
          <w:sz w:val="22"/>
          <w:szCs w:val="22"/>
        </w:rPr>
      </w:pPr>
      <w:r w:rsidRPr="00EA4C9C">
        <w:rPr>
          <w:rFonts w:ascii="Book Antiqua" w:hAnsi="Book Antiqua"/>
          <w:sz w:val="22"/>
          <w:szCs w:val="22"/>
        </w:rPr>
        <w:t xml:space="preserve">Název práce: </w:t>
      </w:r>
      <w:r w:rsidR="009A26BA" w:rsidRPr="00EA4C9C">
        <w:rPr>
          <w:rFonts w:ascii="Book Antiqua" w:hAnsi="Book Antiqua"/>
          <w:sz w:val="22"/>
          <w:szCs w:val="22"/>
        </w:rPr>
        <w:t>Reflexe slovinské politiky v denících Edvarda Kocbeka</w:t>
      </w:r>
    </w:p>
    <w:p w:rsidR="00BA3B69" w:rsidRPr="00EA4C9C" w:rsidRDefault="00BA3B69" w:rsidP="00BA3B69">
      <w:pPr>
        <w:spacing w:line="360" w:lineRule="auto"/>
        <w:rPr>
          <w:rFonts w:ascii="Book Antiqua" w:hAnsi="Book Antiqua"/>
          <w:sz w:val="22"/>
          <w:szCs w:val="22"/>
        </w:rPr>
      </w:pPr>
      <w:r w:rsidRPr="00EA4C9C">
        <w:rPr>
          <w:rFonts w:ascii="Book Antiqua" w:hAnsi="Book Antiqua"/>
          <w:sz w:val="22"/>
          <w:szCs w:val="22"/>
        </w:rPr>
        <w:t>Vedoucí práce: Mgr. Aleš Kozár, Ph.D.</w:t>
      </w:r>
    </w:p>
    <w:p w:rsidR="00BA3B69" w:rsidRPr="00EA4C9C" w:rsidRDefault="00BA3B69" w:rsidP="00BA3B69">
      <w:pPr>
        <w:pBdr>
          <w:bottom w:val="single" w:sz="12" w:space="1" w:color="auto"/>
        </w:pBdr>
        <w:spacing w:line="360" w:lineRule="auto"/>
        <w:rPr>
          <w:rFonts w:ascii="Book Antiqua" w:hAnsi="Book Antiqua"/>
          <w:sz w:val="22"/>
          <w:szCs w:val="22"/>
        </w:rPr>
      </w:pPr>
      <w:r w:rsidRPr="00EA4C9C">
        <w:rPr>
          <w:rFonts w:ascii="Book Antiqua" w:hAnsi="Book Antiqua"/>
          <w:sz w:val="22"/>
          <w:szCs w:val="22"/>
        </w:rPr>
        <w:t xml:space="preserve">Oponent práce: Mgr. Michal </w:t>
      </w:r>
      <w:r w:rsidR="006C2503" w:rsidRPr="00EA4C9C">
        <w:rPr>
          <w:rFonts w:ascii="Book Antiqua" w:hAnsi="Book Antiqua"/>
          <w:sz w:val="22"/>
          <w:szCs w:val="22"/>
        </w:rPr>
        <w:t>Téra</w:t>
      </w:r>
    </w:p>
    <w:p w:rsidR="00BA3B69" w:rsidRPr="00EA4C9C" w:rsidRDefault="00BA3B69" w:rsidP="00BA3B69">
      <w:pPr>
        <w:rPr>
          <w:rFonts w:ascii="Book Antiqua" w:hAnsi="Book Antiqua"/>
          <w:sz w:val="22"/>
          <w:szCs w:val="22"/>
        </w:rPr>
      </w:pPr>
    </w:p>
    <w:p w:rsidR="00ED0473" w:rsidRPr="00EA4C9C" w:rsidRDefault="00ED0473">
      <w:pPr>
        <w:rPr>
          <w:rFonts w:ascii="Book Antiqua" w:hAnsi="Book Antiqua"/>
        </w:rPr>
      </w:pPr>
    </w:p>
    <w:p w:rsidR="00345F2C" w:rsidRPr="00EA4C9C" w:rsidRDefault="00345F2C">
      <w:pPr>
        <w:rPr>
          <w:rFonts w:ascii="Book Antiqua" w:hAnsi="Book Antiqua"/>
        </w:rPr>
      </w:pPr>
    </w:p>
    <w:p w:rsidR="00345F2C" w:rsidRPr="00EA4C9C" w:rsidRDefault="00345F2C" w:rsidP="00EA4C9C">
      <w:pPr>
        <w:ind w:firstLine="851"/>
        <w:rPr>
          <w:rFonts w:ascii="Book Antiqua" w:hAnsi="Book Antiqua"/>
        </w:rPr>
      </w:pPr>
      <w:r w:rsidRPr="00EA4C9C">
        <w:rPr>
          <w:rFonts w:ascii="Book Antiqua" w:hAnsi="Book Antiqua"/>
        </w:rPr>
        <w:t xml:space="preserve">Zvolené téma práce </w:t>
      </w:r>
      <w:r w:rsidR="002E6159" w:rsidRPr="00EA4C9C">
        <w:rPr>
          <w:rFonts w:ascii="Book Antiqua" w:hAnsi="Book Antiqua"/>
        </w:rPr>
        <w:t xml:space="preserve">z oblasti slovinských dějin je založeno na analýze jednoho z nejdůležitějších pramenů slovinských dějin 20. </w:t>
      </w:r>
      <w:r w:rsidR="00C66FDE">
        <w:rPr>
          <w:rFonts w:ascii="Book Antiqua" w:hAnsi="Book Antiqua"/>
        </w:rPr>
        <w:t>s</w:t>
      </w:r>
      <w:r w:rsidR="002E6159" w:rsidRPr="00EA4C9C">
        <w:rPr>
          <w:rFonts w:ascii="Book Antiqua" w:hAnsi="Book Antiqua"/>
        </w:rPr>
        <w:t xml:space="preserve">toletí. </w:t>
      </w:r>
      <w:r w:rsidR="00F928A2" w:rsidRPr="00EA4C9C">
        <w:rPr>
          <w:rFonts w:ascii="Book Antiqua" w:hAnsi="Book Antiqua"/>
        </w:rPr>
        <w:t xml:space="preserve">Osobní deníky spisovatele a politika Edvarda Kocbeka jsou zdrojem jedinečných informací nejen o Kocbekově literárním díle, ale i politické dráze, která jej na prahu druhé světové války vynesla mezi čelní představitele antifašistiského nekomunistického odboje. Účastnil se všech zásadních jednání politických špiček tehdejší Jugoslávie v čele s Titem, po válce byl součástí nového establishmentu a následně byl jako nekomunista opět z funkcí odstraněn. </w:t>
      </w:r>
      <w:r w:rsidR="00076328" w:rsidRPr="00EA4C9C">
        <w:rPr>
          <w:rFonts w:ascii="Book Antiqua" w:hAnsi="Book Antiqua"/>
        </w:rPr>
        <w:t>Většina z Kocbekových deníků začala vycházet teprve po pádu komunistického režimu.</w:t>
      </w:r>
    </w:p>
    <w:p w:rsidR="00076328" w:rsidRDefault="00076328" w:rsidP="00EA4C9C">
      <w:pPr>
        <w:ind w:firstLine="851"/>
        <w:rPr>
          <w:rFonts w:ascii="Book Antiqua" w:hAnsi="Book Antiqua"/>
        </w:rPr>
      </w:pPr>
      <w:r w:rsidRPr="00EA4C9C">
        <w:rPr>
          <w:rFonts w:ascii="Book Antiqua" w:hAnsi="Book Antiqua"/>
        </w:rPr>
        <w:t xml:space="preserve">Cílem </w:t>
      </w:r>
      <w:r w:rsidR="00F1092B">
        <w:rPr>
          <w:rFonts w:ascii="Book Antiqua" w:hAnsi="Book Antiqua"/>
        </w:rPr>
        <w:t xml:space="preserve">této </w:t>
      </w:r>
      <w:r w:rsidRPr="00EA4C9C">
        <w:rPr>
          <w:rFonts w:ascii="Book Antiqua" w:hAnsi="Book Antiqua"/>
        </w:rPr>
        <w:t xml:space="preserve">diplomové práce bylo </w:t>
      </w:r>
      <w:r w:rsidR="0075452C">
        <w:rPr>
          <w:rFonts w:ascii="Book Antiqua" w:hAnsi="Book Antiqua"/>
        </w:rPr>
        <w:t xml:space="preserve">analyzovat </w:t>
      </w:r>
      <w:r w:rsidR="00EA6E4F">
        <w:rPr>
          <w:rFonts w:ascii="Book Antiqua" w:hAnsi="Book Antiqua"/>
        </w:rPr>
        <w:t xml:space="preserve">Kocbekovu interpretaci dějinných událostí na pozadí moderní interpretace daného dějinného období. </w:t>
      </w:r>
    </w:p>
    <w:p w:rsidR="004210EF" w:rsidRDefault="004210EF" w:rsidP="00EA4C9C">
      <w:pPr>
        <w:ind w:firstLine="851"/>
        <w:rPr>
          <w:rFonts w:ascii="Book Antiqua" w:hAnsi="Book Antiqua"/>
        </w:rPr>
      </w:pPr>
      <w:r>
        <w:rPr>
          <w:rFonts w:ascii="Book Antiqua" w:hAnsi="Book Antiqua"/>
        </w:rPr>
        <w:t>Práce se soustředí zejména na období druhé světové války a několika poválečných let zhruba do odstavení Kocbeka z politických funkcí (1951-1952) a jeho odchod</w:t>
      </w:r>
      <w:r w:rsidR="00BC2D84">
        <w:rPr>
          <w:rFonts w:ascii="Book Antiqua" w:hAnsi="Book Antiqua"/>
        </w:rPr>
        <w:t>u</w:t>
      </w:r>
      <w:r>
        <w:rPr>
          <w:rFonts w:ascii="Book Antiqua" w:hAnsi="Book Antiqua"/>
        </w:rPr>
        <w:t xml:space="preserve"> do ústraní</w:t>
      </w:r>
      <w:r w:rsidR="008C696D">
        <w:rPr>
          <w:rFonts w:ascii="Book Antiqua" w:hAnsi="Book Antiqua"/>
        </w:rPr>
        <w:t xml:space="preserve">, což je období jeho největšího politického exponování v oficiálních politických strukturách. </w:t>
      </w:r>
    </w:p>
    <w:p w:rsidR="00C309A3" w:rsidRDefault="00C309A3" w:rsidP="00EA4C9C">
      <w:pPr>
        <w:ind w:firstLine="851"/>
        <w:rPr>
          <w:rFonts w:ascii="Book Antiqua" w:hAnsi="Book Antiqua"/>
        </w:rPr>
      </w:pPr>
      <w:r>
        <w:rPr>
          <w:rFonts w:ascii="Book Antiqua" w:hAnsi="Book Antiqua"/>
        </w:rPr>
        <w:t xml:space="preserve">Pisatel se pokouší o vysledování dobových jazykových konvencí a dobového pojmového diskurzu, jak se v denících </w:t>
      </w:r>
      <w:r w:rsidR="00475AB1">
        <w:rPr>
          <w:rFonts w:ascii="Book Antiqua" w:hAnsi="Book Antiqua"/>
        </w:rPr>
        <w:t>zrcadlí</w:t>
      </w:r>
      <w:r>
        <w:rPr>
          <w:rFonts w:ascii="Book Antiqua" w:hAnsi="Book Antiqua"/>
        </w:rPr>
        <w:t>.</w:t>
      </w:r>
      <w:r w:rsidR="001A7717">
        <w:rPr>
          <w:rFonts w:ascii="Book Antiqua" w:hAnsi="Book Antiqua"/>
        </w:rPr>
        <w:t xml:space="preserve"> </w:t>
      </w:r>
      <w:r w:rsidR="0070762E">
        <w:rPr>
          <w:rFonts w:ascii="Book Antiqua" w:hAnsi="Book Antiqua"/>
        </w:rPr>
        <w:t xml:space="preserve">Jako metodologické východisko si zvolil knihu Michala Pullmanna </w:t>
      </w:r>
      <w:r w:rsidR="0070762E" w:rsidRPr="00805F00">
        <w:rPr>
          <w:rFonts w:ascii="Book Antiqua" w:hAnsi="Book Antiqua"/>
          <w:i/>
        </w:rPr>
        <w:t>Konec experimentu</w:t>
      </w:r>
      <w:r w:rsidR="00054EBE">
        <w:rPr>
          <w:rFonts w:ascii="Book Antiqua" w:hAnsi="Book Antiqua"/>
          <w:i/>
        </w:rPr>
        <w:t xml:space="preserve"> </w:t>
      </w:r>
      <w:r w:rsidR="00054EBE">
        <w:rPr>
          <w:rFonts w:ascii="Book Antiqua" w:hAnsi="Book Antiqua"/>
        </w:rPr>
        <w:t>(2011)</w:t>
      </w:r>
      <w:r w:rsidR="00805F00">
        <w:rPr>
          <w:rFonts w:ascii="Book Antiqua" w:hAnsi="Book Antiqua"/>
        </w:rPr>
        <w:t xml:space="preserve">. </w:t>
      </w:r>
      <w:r w:rsidR="008F5C85">
        <w:rPr>
          <w:rFonts w:ascii="Book Antiqua" w:hAnsi="Book Antiqua"/>
        </w:rPr>
        <w:t>Hl</w:t>
      </w:r>
      <w:r w:rsidR="00054EBE">
        <w:rPr>
          <w:rFonts w:ascii="Book Antiqua" w:hAnsi="Book Antiqua"/>
        </w:rPr>
        <w:t>edá prvky a souvislosti totalitního jazyka a souvislosti s kontextem doby.</w:t>
      </w:r>
      <w:r w:rsidR="008F5C85">
        <w:rPr>
          <w:rFonts w:ascii="Book Antiqua" w:hAnsi="Book Antiqua"/>
        </w:rPr>
        <w:t xml:space="preserve"> Něčeho podobného se autor diplomové práce pokouší dosáhnout také na materiálu Kocbekových deníků. </w:t>
      </w:r>
      <w:r w:rsidR="00967436">
        <w:rPr>
          <w:rFonts w:ascii="Book Antiqua" w:hAnsi="Book Antiqua"/>
        </w:rPr>
        <w:t xml:space="preserve">Jakousi paralelu </w:t>
      </w:r>
      <w:r w:rsidR="00F052CE">
        <w:rPr>
          <w:rFonts w:ascii="Book Antiqua" w:hAnsi="Book Antiqua"/>
        </w:rPr>
        <w:t>t</w:t>
      </w:r>
      <w:r w:rsidR="00967436">
        <w:rPr>
          <w:rFonts w:ascii="Book Antiqua" w:hAnsi="Book Antiqua"/>
        </w:rPr>
        <w:t>ak tvoří pozorování jazyka v textech ústře</w:t>
      </w:r>
      <w:r w:rsidR="00972D42">
        <w:rPr>
          <w:rFonts w:ascii="Book Antiqua" w:hAnsi="Book Antiqua"/>
        </w:rPr>
        <w:t>d</w:t>
      </w:r>
      <w:r w:rsidR="00967436">
        <w:rPr>
          <w:rFonts w:ascii="Book Antiqua" w:hAnsi="Book Antiqua"/>
        </w:rPr>
        <w:t xml:space="preserve">ního dobového </w:t>
      </w:r>
      <w:r w:rsidR="00F052CE">
        <w:rPr>
          <w:rFonts w:ascii="Book Antiqua" w:hAnsi="Book Antiqua"/>
        </w:rPr>
        <w:t>listu</w:t>
      </w:r>
      <w:r w:rsidR="00967436">
        <w:rPr>
          <w:rFonts w:ascii="Book Antiqua" w:hAnsi="Book Antiqua"/>
        </w:rPr>
        <w:t xml:space="preserve"> </w:t>
      </w:r>
      <w:r w:rsidR="00967436" w:rsidRPr="00F052CE">
        <w:rPr>
          <w:rFonts w:ascii="Book Antiqua" w:hAnsi="Book Antiqua"/>
          <w:i/>
        </w:rPr>
        <w:t>Slovenski poročevalec</w:t>
      </w:r>
      <w:r w:rsidR="00F6618A">
        <w:rPr>
          <w:rFonts w:ascii="Book Antiqua" w:hAnsi="Book Antiqua"/>
        </w:rPr>
        <w:t>, byť píše v náznaku (např. s. 50-52)</w:t>
      </w:r>
      <w:r w:rsidR="00967436">
        <w:rPr>
          <w:rFonts w:ascii="Book Antiqua" w:hAnsi="Book Antiqua"/>
        </w:rPr>
        <w:t xml:space="preserve">. </w:t>
      </w:r>
      <w:r w:rsidR="0059712D">
        <w:rPr>
          <w:rFonts w:ascii="Book Antiqua" w:hAnsi="Book Antiqua"/>
        </w:rPr>
        <w:t>V kontextu kocbekovské literatury jde o poměrně novátorský a přínosný nápad.</w:t>
      </w:r>
      <w:r w:rsidR="006B49FA">
        <w:rPr>
          <w:rFonts w:ascii="Book Antiqua" w:hAnsi="Book Antiqua"/>
        </w:rPr>
        <w:t xml:space="preserve"> </w:t>
      </w:r>
    </w:p>
    <w:p w:rsidR="005A21D7" w:rsidRDefault="00565E5E" w:rsidP="00EA4C9C">
      <w:pPr>
        <w:ind w:firstLine="851"/>
        <w:rPr>
          <w:rFonts w:ascii="Book Antiqua" w:hAnsi="Book Antiqua"/>
        </w:rPr>
      </w:pPr>
      <w:r>
        <w:rPr>
          <w:rFonts w:ascii="Book Antiqua" w:hAnsi="Book Antiqua"/>
        </w:rPr>
        <w:t xml:space="preserve">Úvodní pasáže práce seznamují s historickým kontextem meziválečné Jugoslávie a jsou založené </w:t>
      </w:r>
      <w:r w:rsidR="00554AFC">
        <w:rPr>
          <w:rFonts w:ascii="Book Antiqua" w:hAnsi="Book Antiqua"/>
        </w:rPr>
        <w:t xml:space="preserve">zejména na </w:t>
      </w:r>
      <w:r w:rsidR="007D31BF">
        <w:rPr>
          <w:rFonts w:ascii="Book Antiqua" w:hAnsi="Book Antiqua"/>
        </w:rPr>
        <w:t xml:space="preserve">slovinských i českých </w:t>
      </w:r>
      <w:r w:rsidR="00554AFC">
        <w:rPr>
          <w:rFonts w:ascii="Book Antiqua" w:hAnsi="Book Antiqua"/>
        </w:rPr>
        <w:t>pracech Rychlík</w:t>
      </w:r>
      <w:r w:rsidR="0040011A">
        <w:rPr>
          <w:rFonts w:ascii="Book Antiqua" w:hAnsi="Book Antiqua"/>
        </w:rPr>
        <w:t>a</w:t>
      </w:r>
      <w:r w:rsidR="00554AFC">
        <w:rPr>
          <w:rFonts w:ascii="Book Antiqua" w:hAnsi="Book Antiqua"/>
        </w:rPr>
        <w:t>, Pirjev</w:t>
      </w:r>
      <w:r w:rsidR="0040011A">
        <w:rPr>
          <w:rFonts w:ascii="Book Antiqua" w:hAnsi="Book Antiqua"/>
        </w:rPr>
        <w:t>ce</w:t>
      </w:r>
      <w:r w:rsidR="00554AFC">
        <w:rPr>
          <w:rFonts w:ascii="Book Antiqua" w:hAnsi="Book Antiqua"/>
        </w:rPr>
        <w:t xml:space="preserve">, </w:t>
      </w:r>
      <w:r w:rsidR="00967436">
        <w:rPr>
          <w:rFonts w:ascii="Book Antiqua" w:hAnsi="Book Antiqua"/>
        </w:rPr>
        <w:t xml:space="preserve">Tejchmana, Šestáka, </w:t>
      </w:r>
      <w:r w:rsidR="00B24EF9">
        <w:rPr>
          <w:rFonts w:ascii="Book Antiqua" w:hAnsi="Book Antiqua"/>
        </w:rPr>
        <w:t xml:space="preserve">Pelikána, </w:t>
      </w:r>
      <w:r w:rsidR="00554AFC">
        <w:rPr>
          <w:rFonts w:ascii="Book Antiqua" w:hAnsi="Book Antiqua"/>
        </w:rPr>
        <w:t>Griesser-Pečarové</w:t>
      </w:r>
      <w:r w:rsidR="0040011A">
        <w:rPr>
          <w:rFonts w:ascii="Book Antiqua" w:hAnsi="Book Antiqua"/>
        </w:rPr>
        <w:t>, Hladkého a Balkovce</w:t>
      </w:r>
      <w:r w:rsidR="00B24EF9">
        <w:rPr>
          <w:rFonts w:ascii="Book Antiqua" w:hAnsi="Book Antiqua"/>
        </w:rPr>
        <w:t>, čímž jsou historické pasáže založeny na solidních moderních základech</w:t>
      </w:r>
      <w:r w:rsidR="0040011A">
        <w:rPr>
          <w:rFonts w:ascii="Book Antiqua" w:hAnsi="Book Antiqua"/>
        </w:rPr>
        <w:t>.</w:t>
      </w:r>
      <w:r w:rsidR="00B24EF9">
        <w:rPr>
          <w:rFonts w:ascii="Book Antiqua" w:hAnsi="Book Antiqua"/>
        </w:rPr>
        <w:t xml:space="preserve"> Následuje životopisná kapitola o Edvardu Kocbekovi, v níž pisatel vychází zejména z monografií Andreje Inkreta, </w:t>
      </w:r>
      <w:r w:rsidR="00F90083">
        <w:rPr>
          <w:rFonts w:ascii="Book Antiqua" w:hAnsi="Book Antiqua"/>
        </w:rPr>
        <w:t xml:space="preserve">Mihaela Glavana, </w:t>
      </w:r>
      <w:r w:rsidR="00B24EF9">
        <w:rPr>
          <w:rFonts w:ascii="Book Antiqua" w:hAnsi="Book Antiqua"/>
        </w:rPr>
        <w:t>France Pibernika</w:t>
      </w:r>
      <w:r w:rsidR="00F90083">
        <w:rPr>
          <w:rFonts w:ascii="Book Antiqua" w:hAnsi="Book Antiqua"/>
        </w:rPr>
        <w:t xml:space="preserve"> a několika sborníkových prací. Jde sice o zásadní a klíčové práce, nicméně bych předpokládal přeci jen více odborné literatury zaměřené na Kocbeka. Většina je jí sice orientovaná literárněvědně</w:t>
      </w:r>
      <w:r w:rsidR="007F73CA">
        <w:rPr>
          <w:rFonts w:ascii="Book Antiqua" w:hAnsi="Book Antiqua"/>
        </w:rPr>
        <w:t xml:space="preserve">, ale přesto by zejména pasáže, týkající se kritických </w:t>
      </w:r>
      <w:r w:rsidR="00FC0443">
        <w:rPr>
          <w:rFonts w:ascii="Book Antiqua" w:hAnsi="Book Antiqua"/>
        </w:rPr>
        <w:t xml:space="preserve">útoků po vydání souboru novel </w:t>
      </w:r>
      <w:r w:rsidR="00FC0443" w:rsidRPr="00220B25">
        <w:rPr>
          <w:rFonts w:ascii="Book Antiqua" w:hAnsi="Book Antiqua"/>
          <w:i/>
        </w:rPr>
        <w:t>Strah in pogum</w:t>
      </w:r>
      <w:r w:rsidR="00FC0443">
        <w:rPr>
          <w:rFonts w:ascii="Book Antiqua" w:hAnsi="Book Antiqua"/>
        </w:rPr>
        <w:t xml:space="preserve"> nebo slavného interview s Borisem Pahorem a jeho </w:t>
      </w:r>
      <w:r w:rsidR="00FC0443">
        <w:rPr>
          <w:rFonts w:ascii="Book Antiqua" w:hAnsi="Book Antiqua"/>
        </w:rPr>
        <w:lastRenderedPageBreak/>
        <w:t xml:space="preserve">recepce, pomohly </w:t>
      </w:r>
      <w:r w:rsidR="00FC61DB">
        <w:rPr>
          <w:rFonts w:ascii="Book Antiqua" w:hAnsi="Book Antiqua"/>
        </w:rPr>
        <w:t xml:space="preserve">další odborné práce výrazně precizovat a </w:t>
      </w:r>
      <w:r w:rsidR="00220B25">
        <w:rPr>
          <w:rFonts w:ascii="Book Antiqua" w:hAnsi="Book Antiqua"/>
        </w:rPr>
        <w:t>konkretizovat.</w:t>
      </w:r>
    </w:p>
    <w:p w:rsidR="00990CE4" w:rsidRDefault="00990CE4" w:rsidP="00EA4C9C">
      <w:pPr>
        <w:ind w:firstLine="851"/>
        <w:rPr>
          <w:rFonts w:ascii="Book Antiqua" w:hAnsi="Book Antiqua"/>
        </w:rPr>
      </w:pPr>
      <w:r>
        <w:rPr>
          <w:rFonts w:ascii="Book Antiqua" w:hAnsi="Book Antiqua"/>
        </w:rPr>
        <w:t>Závěrem autor konstatuje, že se mu podařilo</w:t>
      </w:r>
      <w:r w:rsidR="00E57237">
        <w:rPr>
          <w:rFonts w:ascii="Book Antiqua" w:hAnsi="Book Antiqua"/>
        </w:rPr>
        <w:t xml:space="preserve"> naplnit cíle práce. </w:t>
      </w:r>
      <w:r w:rsidR="00F975A6">
        <w:rPr>
          <w:rFonts w:ascii="Book Antiqua" w:hAnsi="Book Antiqua"/>
        </w:rPr>
        <w:t xml:space="preserve">Označuje místa v textu deníků, kde Kocbek nachází </w:t>
      </w:r>
      <w:r w:rsidR="004D2D00">
        <w:rPr>
          <w:rFonts w:ascii="Book Antiqua" w:hAnsi="Book Antiqua"/>
        </w:rPr>
        <w:t>vy</w:t>
      </w:r>
      <w:r w:rsidR="00F975A6">
        <w:rPr>
          <w:rFonts w:ascii="Book Antiqua" w:hAnsi="Book Antiqua"/>
        </w:rPr>
        <w:t>prázd</w:t>
      </w:r>
      <w:r w:rsidR="004D2D00">
        <w:rPr>
          <w:rFonts w:ascii="Book Antiqua" w:hAnsi="Book Antiqua"/>
        </w:rPr>
        <w:t>ně</w:t>
      </w:r>
      <w:r w:rsidR="00F975A6">
        <w:rPr>
          <w:rFonts w:ascii="Book Antiqua" w:hAnsi="Book Antiqua"/>
        </w:rPr>
        <w:t>nost komunistického jazyka.</w:t>
      </w:r>
      <w:r w:rsidR="00D61084">
        <w:rPr>
          <w:rFonts w:ascii="Book Antiqua" w:hAnsi="Book Antiqua"/>
        </w:rPr>
        <w:t xml:space="preserve"> </w:t>
      </w:r>
      <w:r w:rsidR="00901F10">
        <w:rPr>
          <w:rFonts w:ascii="Book Antiqua" w:hAnsi="Book Antiqua"/>
        </w:rPr>
        <w:t>Zmiňuje jeho heslovitost, frázovitost. K zmíněným pozorováním bych</w:t>
      </w:r>
      <w:r w:rsidR="00F975A6">
        <w:rPr>
          <w:rFonts w:ascii="Book Antiqua" w:hAnsi="Book Antiqua"/>
        </w:rPr>
        <w:t xml:space="preserve"> </w:t>
      </w:r>
      <w:r w:rsidR="00901F10">
        <w:rPr>
          <w:rFonts w:ascii="Book Antiqua" w:hAnsi="Book Antiqua"/>
        </w:rPr>
        <w:t>ještě doplnil výraznou apelativnost novinových textů.</w:t>
      </w:r>
      <w:bookmarkStart w:id="0" w:name="_GoBack"/>
      <w:bookmarkEnd w:id="0"/>
    </w:p>
    <w:p w:rsidR="00C660D2" w:rsidRDefault="00C660D2" w:rsidP="00EA4C9C">
      <w:pPr>
        <w:ind w:firstLine="851"/>
        <w:rPr>
          <w:rFonts w:ascii="Book Antiqua" w:hAnsi="Book Antiqua"/>
        </w:rPr>
      </w:pPr>
      <w:r>
        <w:rPr>
          <w:rFonts w:ascii="Book Antiqua" w:hAnsi="Book Antiqua"/>
        </w:rPr>
        <w:t>Text je napsaný spíše esejistickou, poměrně čtivou formou, byť se občas nevyhne stylistickým šmodrchancům, které</w:t>
      </w:r>
      <w:r w:rsidR="00D61084">
        <w:rPr>
          <w:rFonts w:ascii="Book Antiqua" w:hAnsi="Book Antiqua"/>
        </w:rPr>
        <w:t xml:space="preserve"> znejasňují text: „Kocbek si rovněž během svého působení všímal prázdných frází v oficiálních sděleních, kritizoval významné osobnosti, že jsou v zajetí strany, aniž by používaly vlastní rozum. Právě </w:t>
      </w:r>
      <w:r w:rsidR="00D61084" w:rsidRPr="00D03890">
        <w:rPr>
          <w:rFonts w:ascii="Book Antiqua" w:hAnsi="Book Antiqua"/>
          <w:i/>
        </w:rPr>
        <w:t>individuální myšlení</w:t>
      </w:r>
      <w:r w:rsidR="00D61084">
        <w:rPr>
          <w:rFonts w:ascii="Book Antiqua" w:hAnsi="Book Antiqua"/>
        </w:rPr>
        <w:t xml:space="preserve"> byla věc, která Kocbekovi na vládě Titových socialistů </w:t>
      </w:r>
      <w:r w:rsidR="00D61084" w:rsidRPr="00D03890">
        <w:rPr>
          <w:rFonts w:ascii="Book Antiqua" w:hAnsi="Book Antiqua"/>
          <w:i/>
        </w:rPr>
        <w:t>vadila</w:t>
      </w:r>
      <w:r w:rsidR="00D61084">
        <w:rPr>
          <w:rFonts w:ascii="Book Antiqua" w:hAnsi="Book Antiqua"/>
        </w:rPr>
        <w:t>. Ve svých denících často apeloval na zdravý rozum, který u svých politických kolegů postrádal.“ (s. 92</w:t>
      </w:r>
      <w:r w:rsidR="00D03890">
        <w:rPr>
          <w:rFonts w:ascii="Book Antiqua" w:hAnsi="Book Antiqua"/>
        </w:rPr>
        <w:t>, zvýraznil AK</w:t>
      </w:r>
      <w:r w:rsidR="00D61084">
        <w:rPr>
          <w:rFonts w:ascii="Book Antiqua" w:hAnsi="Book Antiqua"/>
        </w:rPr>
        <w:t>)</w:t>
      </w:r>
      <w:r w:rsidR="00C1735F">
        <w:rPr>
          <w:rFonts w:ascii="Book Antiqua" w:hAnsi="Book Antiqua"/>
        </w:rPr>
        <w:t xml:space="preserve"> Sdělení si poněkud odporuje.</w:t>
      </w:r>
    </w:p>
    <w:p w:rsidR="00F47CF1" w:rsidRDefault="00603500" w:rsidP="00EA4C9C">
      <w:pPr>
        <w:ind w:firstLine="851"/>
        <w:rPr>
          <w:rFonts w:ascii="Book Antiqua" w:hAnsi="Book Antiqua"/>
        </w:rPr>
      </w:pPr>
      <w:r>
        <w:rPr>
          <w:rFonts w:ascii="Book Antiqua" w:hAnsi="Book Antiqua"/>
        </w:rPr>
        <w:t xml:space="preserve">Pisatel se drží jako výchozího pramene Kocbekových deníků a ukazuje na nich vývoj jeho myšlení od důvěry a vstřícnosti ke komunistickým kolegům, po postupné čím dál větší vyčerpání a </w:t>
      </w:r>
      <w:r w:rsidR="003B1208">
        <w:rPr>
          <w:rFonts w:ascii="Book Antiqua" w:hAnsi="Book Antiqua"/>
        </w:rPr>
        <w:t>názorové vzdalování oficiální ideologi</w:t>
      </w:r>
      <w:r w:rsidR="007D31BF">
        <w:rPr>
          <w:rFonts w:ascii="Book Antiqua" w:hAnsi="Book Antiqua"/>
        </w:rPr>
        <w:t>e</w:t>
      </w:r>
      <w:r w:rsidR="003B1208">
        <w:rPr>
          <w:rFonts w:ascii="Book Antiqua" w:hAnsi="Book Antiqua"/>
        </w:rPr>
        <w:t>.</w:t>
      </w:r>
    </w:p>
    <w:p w:rsidR="00353422" w:rsidRDefault="00353422" w:rsidP="00EA4C9C">
      <w:pPr>
        <w:ind w:firstLine="851"/>
        <w:rPr>
          <w:rFonts w:ascii="Book Antiqua" w:hAnsi="Book Antiqua"/>
        </w:rPr>
      </w:pPr>
      <w:r>
        <w:rPr>
          <w:rFonts w:ascii="Book Antiqua" w:hAnsi="Book Antiqua"/>
        </w:rPr>
        <w:t>Domnívám se, že práce splňuje náležitosti diplomové práce a navrhuji hodnotit ji chvalitebně.</w:t>
      </w:r>
    </w:p>
    <w:p w:rsidR="00353422" w:rsidRDefault="00353422" w:rsidP="00EA4C9C">
      <w:pPr>
        <w:ind w:firstLine="851"/>
        <w:rPr>
          <w:rFonts w:ascii="Book Antiqua" w:hAnsi="Book Antiqua"/>
        </w:rPr>
      </w:pPr>
    </w:p>
    <w:p w:rsidR="00353422" w:rsidRPr="00EA4C9C" w:rsidRDefault="00353422" w:rsidP="00EA4C9C">
      <w:pPr>
        <w:ind w:firstLine="851"/>
        <w:rPr>
          <w:rFonts w:ascii="Book Antiqua" w:hAnsi="Book Antiqua"/>
        </w:rPr>
      </w:pPr>
      <w:r>
        <w:rPr>
          <w:rFonts w:ascii="Book Antiqua" w:hAnsi="Book Antiqua"/>
        </w:rPr>
        <w:t>Mgr. Aleš Kozár, Ph.D.</w:t>
      </w:r>
    </w:p>
    <w:sectPr w:rsidR="00353422" w:rsidRPr="00EA4C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B69"/>
    <w:rsid w:val="00054EBE"/>
    <w:rsid w:val="00076328"/>
    <w:rsid w:val="000E4507"/>
    <w:rsid w:val="001A7717"/>
    <w:rsid w:val="00220B25"/>
    <w:rsid w:val="002E6159"/>
    <w:rsid w:val="002E6C9B"/>
    <w:rsid w:val="00345F2C"/>
    <w:rsid w:val="00353422"/>
    <w:rsid w:val="003B1208"/>
    <w:rsid w:val="0040011A"/>
    <w:rsid w:val="004210EF"/>
    <w:rsid w:val="00475AB1"/>
    <w:rsid w:val="004D2D00"/>
    <w:rsid w:val="00505EAD"/>
    <w:rsid w:val="00554AFC"/>
    <w:rsid w:val="00565E5E"/>
    <w:rsid w:val="0059712D"/>
    <w:rsid w:val="005A21D7"/>
    <w:rsid w:val="005F110E"/>
    <w:rsid w:val="00603500"/>
    <w:rsid w:val="00642CFF"/>
    <w:rsid w:val="00696077"/>
    <w:rsid w:val="006B49FA"/>
    <w:rsid w:val="006C2503"/>
    <w:rsid w:val="0070762E"/>
    <w:rsid w:val="0075452C"/>
    <w:rsid w:val="007D31BF"/>
    <w:rsid w:val="007F73CA"/>
    <w:rsid w:val="00805F00"/>
    <w:rsid w:val="00811D2B"/>
    <w:rsid w:val="008C696D"/>
    <w:rsid w:val="008F5C85"/>
    <w:rsid w:val="00901F10"/>
    <w:rsid w:val="00967436"/>
    <w:rsid w:val="00972D42"/>
    <w:rsid w:val="00990CE4"/>
    <w:rsid w:val="009A26BA"/>
    <w:rsid w:val="00A20531"/>
    <w:rsid w:val="00B24EF9"/>
    <w:rsid w:val="00BA3B69"/>
    <w:rsid w:val="00BC2D84"/>
    <w:rsid w:val="00C1735F"/>
    <w:rsid w:val="00C309A3"/>
    <w:rsid w:val="00C660D2"/>
    <w:rsid w:val="00C66FDE"/>
    <w:rsid w:val="00D03890"/>
    <w:rsid w:val="00D61084"/>
    <w:rsid w:val="00DF554B"/>
    <w:rsid w:val="00E57237"/>
    <w:rsid w:val="00EA4C9C"/>
    <w:rsid w:val="00EA6E4F"/>
    <w:rsid w:val="00ED0473"/>
    <w:rsid w:val="00F052CE"/>
    <w:rsid w:val="00F1092B"/>
    <w:rsid w:val="00F47CF1"/>
    <w:rsid w:val="00F6618A"/>
    <w:rsid w:val="00F90083"/>
    <w:rsid w:val="00F928A2"/>
    <w:rsid w:val="00F975A6"/>
    <w:rsid w:val="00FC0443"/>
    <w:rsid w:val="00FC6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A3B69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A3B69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388</TotalTime>
  <Pages>2</Pages>
  <Words>582</Words>
  <Characters>3434</Characters>
  <Application>Microsoft Office Word</Application>
  <DocSecurity>0</DocSecurity>
  <Lines>28</Lines>
  <Paragraphs>8</Paragraphs>
  <ScaleCrop>false</ScaleCrop>
  <Company>Univerzita Pardubice</Company>
  <LinksUpToDate>false</LinksUpToDate>
  <CharactersWithSpaces>4008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70</cp:revision>
  <dcterms:created xsi:type="dcterms:W3CDTF">2015-08-18T08:28:00Z</dcterms:created>
  <dcterms:modified xsi:type="dcterms:W3CDTF">2015-08-18T20:50:00Z</dcterms:modified>
</cp:coreProperties>
</file>