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6309" w:rsidRPr="00046309" w:rsidRDefault="00D71AD8" w:rsidP="00046309">
      <w:pPr>
        <w:pStyle w:val="Nadpis1"/>
        <w:spacing w:after="240" w:line="276" w:lineRule="auto"/>
        <w:rPr>
          <w:rFonts w:ascii="Book Antiqua" w:hAnsi="Book Antiqua"/>
          <w:b/>
          <w:color w:val="auto"/>
          <w:sz w:val="24"/>
          <w:szCs w:val="24"/>
        </w:rPr>
      </w:pPr>
      <w:r>
        <w:rPr>
          <w:rFonts w:ascii="Book Antiqua" w:hAnsi="Book Antiqua"/>
          <w:b/>
          <w:color w:val="auto"/>
          <w:sz w:val="24"/>
          <w:szCs w:val="24"/>
        </w:rPr>
        <w:t>PhDr. Oldřich KAŠPAR</w:t>
      </w:r>
      <w:r w:rsidR="00046309" w:rsidRPr="00046309">
        <w:rPr>
          <w:rFonts w:ascii="Book Antiqua" w:hAnsi="Book Antiqua"/>
          <w:b/>
          <w:color w:val="auto"/>
          <w:sz w:val="24"/>
          <w:szCs w:val="24"/>
        </w:rPr>
        <w:t>, CSc.</w:t>
      </w:r>
    </w:p>
    <w:p w:rsidR="00046309" w:rsidRPr="00046309" w:rsidRDefault="00046309" w:rsidP="00046309">
      <w:pPr>
        <w:rPr>
          <w:rFonts w:ascii="Book Antiqua" w:hAnsi="Book Antiqua"/>
          <w:b/>
          <w:sz w:val="24"/>
          <w:szCs w:val="24"/>
        </w:rPr>
      </w:pPr>
      <w:r w:rsidRPr="00046309">
        <w:rPr>
          <w:rFonts w:ascii="Book Antiqua" w:hAnsi="Book Antiqua"/>
          <w:b/>
          <w:sz w:val="24"/>
          <w:szCs w:val="24"/>
        </w:rPr>
        <w:t>Katedra sociální a kulturní antropologie FF Univerzity Pardubice</w:t>
      </w:r>
    </w:p>
    <w:p w:rsidR="00046309" w:rsidRPr="00046309" w:rsidRDefault="00046309" w:rsidP="00046309">
      <w:pPr>
        <w:rPr>
          <w:rFonts w:ascii="Book Antiqua" w:hAnsi="Book Antiqua"/>
          <w:b/>
          <w:sz w:val="24"/>
          <w:szCs w:val="24"/>
        </w:rPr>
      </w:pPr>
    </w:p>
    <w:p w:rsidR="00046309" w:rsidRDefault="00046309" w:rsidP="00046309">
      <w:pPr>
        <w:rPr>
          <w:rFonts w:ascii="Book Antiqua" w:hAnsi="Book Antiqua"/>
          <w:b/>
          <w:sz w:val="24"/>
          <w:szCs w:val="24"/>
        </w:rPr>
      </w:pPr>
      <w:r w:rsidRPr="00046309">
        <w:rPr>
          <w:rFonts w:ascii="Book Antiqua" w:hAnsi="Book Antiqua"/>
          <w:b/>
          <w:sz w:val="24"/>
          <w:szCs w:val="24"/>
        </w:rPr>
        <w:t>POSUDEK</w:t>
      </w:r>
    </w:p>
    <w:p w:rsidR="00046309" w:rsidRDefault="00046309" w:rsidP="00046309">
      <w:pPr>
        <w:pBdr>
          <w:bottom w:val="single" w:sz="12" w:space="1" w:color="auto"/>
        </w:pBdr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Jana Musilová, Organizace pracovních úkonů a orientace v prostoru z perspektivy nevidomých, diplomová práce, Univerzita Pardubice, Pardubice, 2020, 49 s. </w:t>
      </w:r>
      <w:r w:rsidR="00562DAE">
        <w:rPr>
          <w:rFonts w:ascii="Book Antiqua" w:hAnsi="Book Antiqua"/>
          <w:b/>
          <w:sz w:val="24"/>
          <w:szCs w:val="24"/>
        </w:rPr>
        <w:t>+ audiovizuální příloha.</w:t>
      </w:r>
    </w:p>
    <w:p w:rsidR="00562DAE" w:rsidRPr="00562DAE" w:rsidRDefault="00562DAE" w:rsidP="00046309">
      <w:pPr>
        <w:rPr>
          <w:rFonts w:ascii="Book Antiqua" w:hAnsi="Book Antiqua"/>
          <w:b/>
          <w:sz w:val="24"/>
          <w:szCs w:val="24"/>
        </w:rPr>
      </w:pPr>
    </w:p>
    <w:p w:rsidR="00046309" w:rsidRDefault="00562DAE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     </w:t>
      </w:r>
      <w:r w:rsidR="00046309">
        <w:rPr>
          <w:rFonts w:ascii="Book Antiqua" w:hAnsi="Book Antiqua"/>
          <w:sz w:val="24"/>
          <w:szCs w:val="24"/>
        </w:rPr>
        <w:t>V předkládané diplomové práci se její autorka soustřeďuje na problém, s nímž se musí potýkat ve svém životě, jak osobním, tak i společenském</w:t>
      </w:r>
      <w:r w:rsidR="00E6688A">
        <w:rPr>
          <w:rFonts w:ascii="Book Antiqua" w:hAnsi="Book Antiqua"/>
          <w:sz w:val="24"/>
          <w:szCs w:val="24"/>
        </w:rPr>
        <w:t xml:space="preserve"> jedinci, kteří v průběhu času</w:t>
      </w:r>
      <w:r w:rsidR="00046309">
        <w:rPr>
          <w:rFonts w:ascii="Book Antiqua" w:hAnsi="Book Antiqua"/>
          <w:sz w:val="24"/>
          <w:szCs w:val="24"/>
        </w:rPr>
        <w:t xml:space="preserve"> vzhledem k zdravotním problémům či následkem úrazu, ztratili jeden z nejdůležitějších smyslů</w:t>
      </w:r>
      <w:r w:rsidR="00277B93">
        <w:rPr>
          <w:rFonts w:ascii="Book Antiqua" w:hAnsi="Book Antiqua"/>
          <w:sz w:val="24"/>
          <w:szCs w:val="24"/>
        </w:rPr>
        <w:t>, který nejen člověku, ale i většině příslušníků zvířecí říše výrazně napomáhá v jejich životě</w:t>
      </w:r>
      <w:r w:rsidR="00046309">
        <w:rPr>
          <w:rFonts w:ascii="Book Antiqua" w:hAnsi="Book Antiqua"/>
          <w:sz w:val="24"/>
          <w:szCs w:val="24"/>
        </w:rPr>
        <w:t xml:space="preserve"> – zrak.</w:t>
      </w:r>
      <w:r w:rsidR="00277B93">
        <w:rPr>
          <w:rFonts w:ascii="Book Antiqua" w:hAnsi="Book Antiqua"/>
          <w:sz w:val="24"/>
          <w:szCs w:val="24"/>
        </w:rPr>
        <w:t xml:space="preserve"> V případě současného člověka lze konstatovat, že ú</w:t>
      </w:r>
      <w:r w:rsidR="00673013">
        <w:rPr>
          <w:rFonts w:ascii="Book Antiqua" w:hAnsi="Book Antiqua"/>
          <w:sz w:val="24"/>
          <w:szCs w:val="24"/>
        </w:rPr>
        <w:t>loha zraku se ještě zvýšila vzhledem k</w:t>
      </w:r>
      <w:r w:rsidR="00E6688A">
        <w:rPr>
          <w:rFonts w:ascii="Book Antiqua" w:hAnsi="Book Antiqua"/>
          <w:sz w:val="24"/>
          <w:szCs w:val="24"/>
        </w:rPr>
        <w:t xml:space="preserve"> překotnému </w:t>
      </w:r>
      <w:r w:rsidR="00277B93">
        <w:rPr>
          <w:rFonts w:ascii="Book Antiqua" w:hAnsi="Book Antiqua"/>
          <w:sz w:val="24"/>
          <w:szCs w:val="24"/>
        </w:rPr>
        <w:t>vývoji vědy, techniky, společnosti apod. Stačí si jen uvědomit kolik nás při cestě běžnou ulicí, nemluvě o různých institucích, úřa</w:t>
      </w:r>
      <w:r w:rsidR="00E6688A">
        <w:rPr>
          <w:rFonts w:ascii="Book Antiqua" w:hAnsi="Book Antiqua"/>
          <w:sz w:val="24"/>
          <w:szCs w:val="24"/>
        </w:rPr>
        <w:t xml:space="preserve">dech, nádražích apod. obklopuje </w:t>
      </w:r>
      <w:r w:rsidR="00277B93">
        <w:rPr>
          <w:rFonts w:ascii="Book Antiqua" w:hAnsi="Book Antiqua"/>
          <w:sz w:val="24"/>
          <w:szCs w:val="24"/>
        </w:rPr>
        <w:t>návodných nápisů, sym</w:t>
      </w:r>
      <w:r w:rsidR="00673013">
        <w:rPr>
          <w:rFonts w:ascii="Book Antiqua" w:hAnsi="Book Antiqua"/>
          <w:sz w:val="24"/>
          <w:szCs w:val="24"/>
        </w:rPr>
        <w:t>bolů apod. Čili pro nevidomého jeho p</w:t>
      </w:r>
      <w:r w:rsidR="00277B93">
        <w:rPr>
          <w:rFonts w:ascii="Book Antiqua" w:hAnsi="Book Antiqua"/>
          <w:sz w:val="24"/>
          <w:szCs w:val="24"/>
        </w:rPr>
        <w:t>o</w:t>
      </w:r>
      <w:r w:rsidR="00673013">
        <w:rPr>
          <w:rFonts w:ascii="Book Antiqua" w:hAnsi="Book Antiqua"/>
          <w:sz w:val="24"/>
          <w:szCs w:val="24"/>
        </w:rPr>
        <w:t>stižení</w:t>
      </w:r>
      <w:r w:rsidR="00277B93">
        <w:rPr>
          <w:rFonts w:ascii="Book Antiqua" w:hAnsi="Book Antiqua"/>
          <w:sz w:val="24"/>
          <w:szCs w:val="24"/>
        </w:rPr>
        <w:t xml:space="preserve"> neznamená jen obtížnou základní orientaci v tom či onom prostoru, ale potýká se i se skutečností, že mu schází „další“, ne nevýznamná nadstavba, která je pro ostatní zcela samozřejmá.</w:t>
      </w:r>
    </w:p>
    <w:p w:rsidR="00277B93" w:rsidRDefault="00277B93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Dalo by si říci, že Jana Musilová má jistou výhodu</w:t>
      </w:r>
      <w:r w:rsidR="007F0E82">
        <w:rPr>
          <w:rFonts w:ascii="Book Antiqua" w:hAnsi="Book Antiqua"/>
          <w:sz w:val="24"/>
          <w:szCs w:val="24"/>
        </w:rPr>
        <w:t xml:space="preserve">, ovšem také za určitých okolností nevýhodu v tom smyslu, že v jejím nejbližším (rodinném) okruhu se takto postižený jedinec vyskytuje (otec) a </w:t>
      </w:r>
      <w:r w:rsidR="00E6688A">
        <w:rPr>
          <w:rFonts w:ascii="Book Antiqua" w:hAnsi="Book Antiqua"/>
          <w:sz w:val="24"/>
          <w:szCs w:val="24"/>
        </w:rPr>
        <w:t xml:space="preserve">ona </w:t>
      </w:r>
      <w:r w:rsidR="007F0E82">
        <w:rPr>
          <w:rFonts w:ascii="Book Antiqua" w:hAnsi="Book Antiqua"/>
          <w:sz w:val="24"/>
          <w:szCs w:val="24"/>
        </w:rPr>
        <w:t>tudíž</w:t>
      </w:r>
      <w:r w:rsidR="00E6688A">
        <w:rPr>
          <w:rFonts w:ascii="Book Antiqua" w:hAnsi="Book Antiqua"/>
          <w:sz w:val="24"/>
          <w:szCs w:val="24"/>
        </w:rPr>
        <w:t xml:space="preserve"> sama</w:t>
      </w:r>
      <w:r w:rsidR="007F0E82">
        <w:rPr>
          <w:rFonts w:ascii="Book Antiqua" w:hAnsi="Book Antiqua"/>
          <w:sz w:val="24"/>
          <w:szCs w:val="24"/>
        </w:rPr>
        <w:t xml:space="preserve"> má dlouhodobější zkušenosti vycházející z běžného a každodenního života „po boku“ nevidomého. Základní konstatování je </w:t>
      </w:r>
      <w:r w:rsidR="00562DAE">
        <w:rPr>
          <w:rFonts w:ascii="Book Antiqua" w:hAnsi="Book Antiqua"/>
          <w:sz w:val="24"/>
          <w:szCs w:val="24"/>
        </w:rPr>
        <w:t xml:space="preserve">ovšem </w:t>
      </w:r>
      <w:r w:rsidR="007F0E82">
        <w:rPr>
          <w:rFonts w:ascii="Book Antiqua" w:hAnsi="Book Antiqua"/>
          <w:sz w:val="24"/>
          <w:szCs w:val="24"/>
        </w:rPr>
        <w:t xml:space="preserve">jasné </w:t>
      </w:r>
      <w:r w:rsidR="00562DAE">
        <w:rPr>
          <w:rFonts w:ascii="Book Antiqua" w:hAnsi="Book Antiqua"/>
          <w:sz w:val="24"/>
          <w:szCs w:val="24"/>
        </w:rPr>
        <w:t xml:space="preserve">- </w:t>
      </w:r>
      <w:r w:rsidR="007F0E82">
        <w:rPr>
          <w:rFonts w:ascii="Book Antiqua" w:hAnsi="Book Antiqua"/>
          <w:sz w:val="24"/>
          <w:szCs w:val="24"/>
        </w:rPr>
        <w:t>nikdo z nás si nedokáže plně uvědomit, co ztráta zraku a „nový“ způsob života pro postiženého znamená.</w:t>
      </w:r>
      <w:r w:rsidR="00562DAE">
        <w:rPr>
          <w:rFonts w:ascii="Book Antiqua" w:hAnsi="Book Antiqua"/>
          <w:sz w:val="24"/>
          <w:szCs w:val="24"/>
        </w:rPr>
        <w:t xml:space="preserve"> Tak jako si postižený plně nedokáže uvědomit, jak jeho „handicap“ ovlivňuje jeho nejbližší či širší okolí.</w:t>
      </w:r>
    </w:p>
    <w:p w:rsidR="007F0E82" w:rsidRDefault="007F0E82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Částečnou cestou k poodhalení základních zákonitostí zmíněného problému je způsob, jenž autorka zvolila ve své práci – na základě rozhovorů s postiženými (</w:t>
      </w:r>
      <w:r w:rsidR="00562DAE">
        <w:rPr>
          <w:rFonts w:ascii="Book Antiqua" w:hAnsi="Book Antiqua"/>
          <w:sz w:val="24"/>
          <w:szCs w:val="24"/>
        </w:rPr>
        <w:t xml:space="preserve">a </w:t>
      </w:r>
      <w:r>
        <w:rPr>
          <w:rFonts w:ascii="Book Antiqua" w:hAnsi="Book Antiqua"/>
          <w:sz w:val="24"/>
          <w:szCs w:val="24"/>
        </w:rPr>
        <w:t xml:space="preserve">v jejím případě i dlouhodobým, ne vždy vědomým pozorováním, jednoho z nich) se co </w:t>
      </w:r>
      <w:r>
        <w:rPr>
          <w:rFonts w:ascii="Book Antiqua" w:hAnsi="Book Antiqua"/>
          <w:sz w:val="24"/>
          <w:szCs w:val="24"/>
        </w:rPr>
        <w:lastRenderedPageBreak/>
        <w:t xml:space="preserve">nejvíce přiblížit k realitě (její úplné pochopení možné není) a svým způsobem upozornit na některé zbytečné „přehmaty“, jichž se – mnohdy v dobré víře – „vidoucí“ v chování </w:t>
      </w:r>
      <w:r w:rsidR="005275E5">
        <w:rPr>
          <w:rFonts w:ascii="Book Antiqua" w:hAnsi="Book Antiqua"/>
          <w:sz w:val="24"/>
          <w:szCs w:val="24"/>
        </w:rPr>
        <w:t>k „</w:t>
      </w:r>
      <w:r>
        <w:rPr>
          <w:rFonts w:ascii="Book Antiqua" w:hAnsi="Book Antiqua"/>
          <w:sz w:val="24"/>
          <w:szCs w:val="24"/>
        </w:rPr>
        <w:t>nevidoucím</w:t>
      </w:r>
      <w:r w:rsidR="005275E5">
        <w:rPr>
          <w:rFonts w:ascii="Book Antiqua" w:hAnsi="Book Antiqua"/>
          <w:sz w:val="24"/>
          <w:szCs w:val="24"/>
        </w:rPr>
        <w:t>“ – dopouštějí.</w:t>
      </w:r>
    </w:p>
    <w:p w:rsidR="005275E5" w:rsidRDefault="005275E5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Textová část práce má ucelenou a logicky členěnou strukturu od úvodu (se stanovením základních výzkumných otázek), přes poměrně obsáhle komentovanou metodologii, poněkud stručnější naznačení teoretických východisek a hlavní jádro, jež tvoří „Praktická část“. To znamená rozhovory s informanty a z nich vyplývající dílčí závěry.</w:t>
      </w:r>
    </w:p>
    <w:p w:rsidR="00562DAE" w:rsidRDefault="00562DAE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V závěru pak přináší vcelku logicky konstruované odpovědi na základní otázky formulované v úvodu.</w:t>
      </w:r>
    </w:p>
    <w:p w:rsidR="00562DAE" w:rsidRDefault="005275E5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Text uzavírá vcelku odpovídající bibliografie.</w:t>
      </w:r>
      <w:r w:rsidR="00673013">
        <w:rPr>
          <w:rFonts w:ascii="Book Antiqua" w:hAnsi="Book Antiqua"/>
          <w:sz w:val="24"/>
          <w:szCs w:val="24"/>
        </w:rPr>
        <w:t xml:space="preserve"> Tato část diplomové práce přináší nejen zajímavé výpovědi informantů, ale i závěry (pravda mnohdy nepříliš překvapující), jež z nich autorka vyvozuje. Vizuální podoba pak svým způsobem umocňuje, to co bylo napsáno a dává také možno</w:t>
      </w:r>
      <w:r w:rsidR="00562DAE">
        <w:rPr>
          <w:rFonts w:ascii="Book Antiqua" w:hAnsi="Book Antiqua"/>
          <w:sz w:val="24"/>
          <w:szCs w:val="24"/>
        </w:rPr>
        <w:t>st (v některých ohledech) jisté</w:t>
      </w:r>
      <w:r w:rsidR="00673013">
        <w:rPr>
          <w:rFonts w:ascii="Book Antiqua" w:hAnsi="Book Antiqua"/>
          <w:sz w:val="24"/>
          <w:szCs w:val="24"/>
        </w:rPr>
        <w:t xml:space="preserve"> řekněme „</w:t>
      </w:r>
      <w:r w:rsidR="00562DAE">
        <w:rPr>
          <w:rFonts w:ascii="Book Antiqua" w:hAnsi="Book Antiqua"/>
          <w:sz w:val="24"/>
          <w:szCs w:val="24"/>
        </w:rPr>
        <w:t>korekce</w:t>
      </w:r>
      <w:r w:rsidR="00673013">
        <w:rPr>
          <w:rFonts w:ascii="Book Antiqua" w:hAnsi="Book Antiqua"/>
          <w:sz w:val="24"/>
          <w:szCs w:val="24"/>
        </w:rPr>
        <w:t>“</w:t>
      </w:r>
      <w:r w:rsidR="00562DAE">
        <w:rPr>
          <w:rFonts w:ascii="Book Antiqua" w:hAnsi="Book Antiqua"/>
          <w:sz w:val="24"/>
          <w:szCs w:val="24"/>
        </w:rPr>
        <w:t xml:space="preserve"> (nebo snad jiného</w:t>
      </w:r>
      <w:r w:rsidR="00673013">
        <w:rPr>
          <w:rFonts w:ascii="Book Antiqua" w:hAnsi="Book Antiqua"/>
          <w:sz w:val="24"/>
          <w:szCs w:val="24"/>
        </w:rPr>
        <w:t xml:space="preserve"> výklad</w:t>
      </w:r>
      <w:r w:rsidR="00562DAE">
        <w:rPr>
          <w:rFonts w:ascii="Book Antiqua" w:hAnsi="Book Antiqua"/>
          <w:sz w:val="24"/>
          <w:szCs w:val="24"/>
        </w:rPr>
        <w:t>u</w:t>
      </w:r>
      <w:r w:rsidR="00673013">
        <w:rPr>
          <w:rFonts w:ascii="Book Antiqua" w:hAnsi="Book Antiqua"/>
          <w:sz w:val="24"/>
          <w:szCs w:val="24"/>
        </w:rPr>
        <w:t xml:space="preserve"> fenoménů), jež jsou popsány autorkou ve výše uvedené „první polovině“, její diplomové práce. </w:t>
      </w:r>
    </w:p>
    <w:p w:rsidR="005275E5" w:rsidRPr="00562DAE" w:rsidRDefault="00562DAE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Hlavní </w:t>
      </w:r>
      <w:r w:rsidR="00215464">
        <w:rPr>
          <w:rFonts w:ascii="Book Antiqua" w:hAnsi="Book Antiqua"/>
          <w:sz w:val="24"/>
          <w:szCs w:val="24"/>
        </w:rPr>
        <w:t>„vad</w:t>
      </w:r>
      <w:r>
        <w:rPr>
          <w:rFonts w:ascii="Book Antiqua" w:hAnsi="Book Antiqua"/>
          <w:sz w:val="24"/>
          <w:szCs w:val="24"/>
        </w:rPr>
        <w:t>u</w:t>
      </w:r>
      <w:r w:rsidR="00215464">
        <w:rPr>
          <w:rFonts w:ascii="Book Antiqua" w:hAnsi="Book Antiqua"/>
          <w:sz w:val="24"/>
          <w:szCs w:val="24"/>
        </w:rPr>
        <w:t xml:space="preserve"> na kráse</w:t>
      </w:r>
      <w:r w:rsidR="00E6688A">
        <w:rPr>
          <w:rFonts w:ascii="Book Antiqua" w:hAnsi="Book Antiqua"/>
          <w:sz w:val="24"/>
          <w:szCs w:val="24"/>
        </w:rPr>
        <w:t>“</w:t>
      </w:r>
      <w:bookmarkStart w:id="0" w:name="_GoBack"/>
      <w:bookmarkEnd w:id="0"/>
      <w:r w:rsidR="00215464">
        <w:rPr>
          <w:rFonts w:ascii="Book Antiqua" w:hAnsi="Book Antiqua"/>
          <w:sz w:val="24"/>
          <w:szCs w:val="24"/>
        </w:rPr>
        <w:t xml:space="preserve"> představuje skutečnost, že t</w:t>
      </w:r>
      <w:r w:rsidR="00673013">
        <w:rPr>
          <w:rFonts w:ascii="Book Antiqua" w:hAnsi="Book Antiqua"/>
          <w:sz w:val="24"/>
          <w:szCs w:val="24"/>
        </w:rPr>
        <w:t xml:space="preserve">extová část je bohužel poznamenána některými prohřešky proti gramatice a stylistice. Nicméně diplomovou práci Jany Musilové doporučuji k obhajobě s návrhem hodnocení </w:t>
      </w:r>
      <w:r>
        <w:rPr>
          <w:rFonts w:ascii="Book Antiqua" w:hAnsi="Book Antiqua"/>
          <w:b/>
          <w:sz w:val="24"/>
          <w:szCs w:val="24"/>
        </w:rPr>
        <w:t>B</w:t>
      </w:r>
      <w:r>
        <w:rPr>
          <w:rFonts w:ascii="Book Antiqua" w:hAnsi="Book Antiqua"/>
          <w:sz w:val="24"/>
          <w:szCs w:val="24"/>
        </w:rPr>
        <w:t xml:space="preserve"> popřípadě </w:t>
      </w:r>
      <w:r>
        <w:rPr>
          <w:rFonts w:ascii="Book Antiqua" w:hAnsi="Book Antiqua"/>
          <w:b/>
          <w:sz w:val="24"/>
          <w:szCs w:val="24"/>
        </w:rPr>
        <w:t xml:space="preserve">A </w:t>
      </w:r>
      <w:r>
        <w:rPr>
          <w:rFonts w:ascii="Book Antiqua" w:hAnsi="Book Antiqua"/>
          <w:sz w:val="24"/>
          <w:szCs w:val="24"/>
        </w:rPr>
        <w:t>s ohledem na výsledek vlastní prezentace a obhajoby.</w:t>
      </w:r>
    </w:p>
    <w:p w:rsidR="00277B93" w:rsidRDefault="00277B93" w:rsidP="00562DA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</w:t>
      </w:r>
    </w:p>
    <w:p w:rsidR="00562DAE" w:rsidRDefault="00562DAE" w:rsidP="00562DAE">
      <w:pPr>
        <w:jc w:val="both"/>
        <w:rPr>
          <w:rFonts w:ascii="Book Antiqua" w:hAnsi="Book Antiqua"/>
          <w:sz w:val="24"/>
          <w:szCs w:val="24"/>
        </w:rPr>
      </w:pPr>
    </w:p>
    <w:p w:rsidR="00562DAE" w:rsidRDefault="00562DAE" w:rsidP="00562DA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                                                                              </w:t>
      </w:r>
      <w:r>
        <w:rPr>
          <w:rFonts w:ascii="Book Antiqua" w:hAnsi="Book Antiqua"/>
          <w:b/>
          <w:sz w:val="24"/>
          <w:szCs w:val="24"/>
        </w:rPr>
        <w:t>Oldřich Kašpar</w:t>
      </w:r>
    </w:p>
    <w:p w:rsidR="00562DAE" w:rsidRDefault="00562DAE" w:rsidP="00562DA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562DAE" w:rsidRDefault="00562DAE" w:rsidP="00562DA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562DAE" w:rsidRPr="00562DAE" w:rsidRDefault="00562DAE" w:rsidP="00562DAE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 w:rsidRPr="00562DAE">
        <w:rPr>
          <w:rFonts w:ascii="Book Antiqua" w:hAnsi="Book Antiqua"/>
          <w:b/>
          <w:sz w:val="24"/>
          <w:szCs w:val="24"/>
        </w:rPr>
        <w:t>Bzí v Českém ráji, 25. 8. 2020</w:t>
      </w:r>
    </w:p>
    <w:sectPr w:rsidR="00562DAE" w:rsidRPr="00562DAE" w:rsidSect="00D417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518" w:rsidRDefault="00967518" w:rsidP="00967518">
      <w:pPr>
        <w:spacing w:after="0" w:line="240" w:lineRule="auto"/>
      </w:pPr>
      <w:r>
        <w:separator/>
      </w:r>
    </w:p>
  </w:endnote>
  <w:endnote w:type="continuationSeparator" w:id="0">
    <w:p w:rsidR="00967518" w:rsidRDefault="00967518" w:rsidP="009675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518" w:rsidRDefault="00967518" w:rsidP="00967518">
      <w:pPr>
        <w:spacing w:after="0" w:line="240" w:lineRule="auto"/>
      </w:pPr>
      <w:r>
        <w:separator/>
      </w:r>
    </w:p>
  </w:footnote>
  <w:footnote w:type="continuationSeparator" w:id="0">
    <w:p w:rsidR="00967518" w:rsidRDefault="00967518" w:rsidP="0096751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C457B"/>
    <w:rsid w:val="00046309"/>
    <w:rsid w:val="000520AE"/>
    <w:rsid w:val="000A0722"/>
    <w:rsid w:val="00215464"/>
    <w:rsid w:val="00277B93"/>
    <w:rsid w:val="004B16D3"/>
    <w:rsid w:val="005275E5"/>
    <w:rsid w:val="00562DAE"/>
    <w:rsid w:val="005646F6"/>
    <w:rsid w:val="005C0A52"/>
    <w:rsid w:val="00673013"/>
    <w:rsid w:val="007C457B"/>
    <w:rsid w:val="007E33A8"/>
    <w:rsid w:val="007F0E82"/>
    <w:rsid w:val="00821FB5"/>
    <w:rsid w:val="00941B16"/>
    <w:rsid w:val="00967518"/>
    <w:rsid w:val="009E13C5"/>
    <w:rsid w:val="00BB6D59"/>
    <w:rsid w:val="00C07680"/>
    <w:rsid w:val="00D26695"/>
    <w:rsid w:val="00D33FA6"/>
    <w:rsid w:val="00D41748"/>
    <w:rsid w:val="00D468AC"/>
    <w:rsid w:val="00D71AD8"/>
    <w:rsid w:val="00DF5B3A"/>
    <w:rsid w:val="00E01829"/>
    <w:rsid w:val="00E6688A"/>
    <w:rsid w:val="00F00BE5"/>
    <w:rsid w:val="00F0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A4BFAB"/>
  <w15:docId w15:val="{4E0BE57B-2596-40F6-BC0D-04F289EDF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B6D59"/>
  </w:style>
  <w:style w:type="paragraph" w:styleId="Nadpis1">
    <w:name w:val="heading 1"/>
    <w:basedOn w:val="Normln"/>
    <w:next w:val="Normln"/>
    <w:link w:val="Nadpis1Char"/>
    <w:uiPriority w:val="9"/>
    <w:qFormat/>
    <w:rsid w:val="00967518"/>
    <w:pPr>
      <w:keepNext/>
      <w:keepLines/>
      <w:spacing w:before="240" w:after="0" w:line="25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967518"/>
    <w:pPr>
      <w:keepNext/>
      <w:keepLines/>
      <w:spacing w:before="360" w:after="120" w:line="25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967518"/>
    <w:pPr>
      <w:keepNext/>
      <w:keepLines/>
      <w:spacing w:before="40" w:after="0" w:line="25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967518"/>
    <w:pPr>
      <w:keepNext/>
      <w:keepLines/>
      <w:spacing w:before="40" w:after="0" w:line="256" w:lineRule="auto"/>
      <w:outlineLvl w:val="3"/>
    </w:pPr>
    <w:rPr>
      <w:rFonts w:asciiTheme="majorHAnsi" w:eastAsiaTheme="majorEastAsia" w:hAnsiTheme="majorHAnsi" w:cstheme="majorBidi"/>
      <w:iCs/>
      <w:color w:val="365F91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6751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96751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967518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967518"/>
    <w:rPr>
      <w:rFonts w:asciiTheme="majorHAnsi" w:eastAsiaTheme="majorEastAsia" w:hAnsiTheme="majorHAnsi" w:cstheme="majorBidi"/>
      <w:iCs/>
      <w:color w:val="365F91" w:themeColor="accent1" w:themeShade="BF"/>
    </w:rPr>
  </w:style>
  <w:style w:type="character" w:styleId="Hypertextovodkaz">
    <w:name w:val="Hyperlink"/>
    <w:basedOn w:val="Standardnpsmoodstavce"/>
    <w:uiPriority w:val="99"/>
    <w:semiHidden/>
    <w:unhideWhenUsed/>
    <w:rsid w:val="00967518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67518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67518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67518"/>
    <w:rPr>
      <w:vertAlign w:val="superscript"/>
    </w:rPr>
  </w:style>
  <w:style w:type="table" w:styleId="Mkatabulky">
    <w:name w:val="Table Grid"/>
    <w:basedOn w:val="Normlntabulka"/>
    <w:uiPriority w:val="39"/>
    <w:rsid w:val="009675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9675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6751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184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505</Words>
  <Characters>2982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UPa</dc:creator>
  <cp:keywords/>
  <dc:description/>
  <cp:lastModifiedBy>jarolimkova</cp:lastModifiedBy>
  <cp:revision>18</cp:revision>
  <cp:lastPrinted>2017-05-19T04:14:00Z</cp:lastPrinted>
  <dcterms:created xsi:type="dcterms:W3CDTF">2017-05-18T06:40:00Z</dcterms:created>
  <dcterms:modified xsi:type="dcterms:W3CDTF">2020-08-27T10:05:00Z</dcterms:modified>
</cp:coreProperties>
</file>