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8F3" w:rsidRDefault="00774FBB" w:rsidP="00AA58F3">
      <w:pPr>
        <w:rPr>
          <w:rFonts w:asciiTheme="minorHAnsi" w:hAnsiTheme="minorHAnsi"/>
          <w:b/>
          <w:sz w:val="20"/>
          <w:szCs w:val="18"/>
          <w:lang w:val="en-GB"/>
        </w:rPr>
      </w:pPr>
      <w:r w:rsidRPr="00774FBB">
        <w:rPr>
          <w:rFonts w:asciiTheme="minorHAnsi" w:hAnsiTheme="minorHAnsi"/>
          <w:b/>
          <w:sz w:val="20"/>
          <w:szCs w:val="18"/>
          <w:lang w:val="en-GB"/>
        </w:rPr>
        <w:t>USING THE ACCELERATING RATE CALORIMETRY FOR DETERMINATION OF ENERGETIC MATERIALS THERMAL HAZARDS</w:t>
      </w:r>
    </w:p>
    <w:p w:rsidR="00774FBB" w:rsidRPr="007F7891" w:rsidRDefault="00774FBB" w:rsidP="00AA58F3">
      <w:pPr>
        <w:rPr>
          <w:rFonts w:asciiTheme="minorHAnsi" w:hAnsiTheme="minorHAnsi"/>
          <w:sz w:val="20"/>
          <w:szCs w:val="20"/>
          <w:lang w:val="en-GB"/>
        </w:rPr>
      </w:pPr>
    </w:p>
    <w:p w:rsidR="00AA58F3" w:rsidRPr="007F7891" w:rsidRDefault="0099665C" w:rsidP="00AA58F3">
      <w:pPr>
        <w:rPr>
          <w:rFonts w:asciiTheme="minorHAnsi" w:hAnsiTheme="minorHAnsi"/>
          <w:sz w:val="20"/>
          <w:szCs w:val="20"/>
          <w:lang w:val="en-GB"/>
        </w:rPr>
      </w:pPr>
      <w:r w:rsidRPr="007F7891">
        <w:rPr>
          <w:rFonts w:asciiTheme="minorHAnsi" w:hAnsiTheme="minorHAnsi"/>
          <w:b/>
          <w:sz w:val="20"/>
          <w:szCs w:val="20"/>
          <w:u w:val="single"/>
          <w:lang w:val="en-GB"/>
        </w:rPr>
        <w:t>Mašín J</w:t>
      </w:r>
      <w:r w:rsidR="00867785" w:rsidRPr="007F7891">
        <w:rPr>
          <w:rFonts w:asciiTheme="minorHAnsi" w:hAnsiTheme="minorHAnsi"/>
          <w:b/>
          <w:sz w:val="20"/>
          <w:szCs w:val="20"/>
          <w:u w:val="single"/>
          <w:lang w:val="en-GB"/>
        </w:rPr>
        <w:t>.</w:t>
      </w:r>
      <w:r w:rsidR="00106E8F" w:rsidRPr="007F7891">
        <w:rPr>
          <w:rFonts w:asciiTheme="minorHAnsi" w:hAnsiTheme="minorHAnsi"/>
          <w:b/>
          <w:sz w:val="20"/>
          <w:szCs w:val="20"/>
          <w:u w:val="single"/>
          <w:vertAlign w:val="superscript"/>
          <w:lang w:val="en-GB"/>
        </w:rPr>
        <w:t>1</w:t>
      </w:r>
      <w:r w:rsidR="00106E8F" w:rsidRPr="007F7891">
        <w:rPr>
          <w:rFonts w:asciiTheme="minorHAnsi" w:hAnsiTheme="minorHAnsi"/>
          <w:sz w:val="20"/>
          <w:szCs w:val="20"/>
          <w:lang w:val="en-GB"/>
        </w:rPr>
        <w:t xml:space="preserve">, </w:t>
      </w:r>
      <w:r w:rsidRPr="007F7891">
        <w:rPr>
          <w:rFonts w:asciiTheme="minorHAnsi" w:hAnsiTheme="minorHAnsi"/>
          <w:sz w:val="20"/>
          <w:szCs w:val="20"/>
          <w:lang w:val="en-GB"/>
        </w:rPr>
        <w:t>Šelešovský J</w:t>
      </w:r>
      <w:r w:rsidR="00867785" w:rsidRPr="007F7891">
        <w:rPr>
          <w:rFonts w:asciiTheme="minorHAnsi" w:hAnsiTheme="minorHAnsi"/>
          <w:sz w:val="20"/>
          <w:szCs w:val="20"/>
          <w:lang w:val="en-GB"/>
        </w:rPr>
        <w:t xml:space="preserve"> .</w:t>
      </w:r>
      <w:r w:rsidR="00106E8F" w:rsidRPr="007F7891">
        <w:rPr>
          <w:rFonts w:asciiTheme="minorHAnsi" w:hAnsiTheme="minorHAnsi"/>
          <w:sz w:val="20"/>
          <w:szCs w:val="20"/>
          <w:vertAlign w:val="superscript"/>
          <w:lang w:val="en-GB"/>
        </w:rPr>
        <w:t>1</w:t>
      </w:r>
      <w:r w:rsidRPr="007F7891">
        <w:rPr>
          <w:rFonts w:asciiTheme="minorHAnsi" w:hAnsiTheme="minorHAnsi"/>
          <w:sz w:val="20"/>
          <w:szCs w:val="20"/>
          <w:lang w:val="en-GB"/>
        </w:rPr>
        <w:t>, Ferjenčík M.</w:t>
      </w:r>
      <w:r w:rsidRPr="007F7891">
        <w:rPr>
          <w:rFonts w:asciiTheme="minorHAnsi" w:hAnsiTheme="minorHAnsi"/>
          <w:sz w:val="20"/>
          <w:szCs w:val="20"/>
          <w:vertAlign w:val="superscript"/>
          <w:lang w:val="en-GB"/>
        </w:rPr>
        <w:t>1</w:t>
      </w:r>
    </w:p>
    <w:p w:rsidR="00AA58F3" w:rsidRPr="007F7891" w:rsidRDefault="00AA58F3" w:rsidP="00867785">
      <w:pPr>
        <w:rPr>
          <w:rFonts w:asciiTheme="minorHAnsi" w:hAnsiTheme="minorHAnsi"/>
          <w:sz w:val="20"/>
          <w:szCs w:val="20"/>
          <w:lang w:val="en-GB"/>
        </w:rPr>
      </w:pPr>
    </w:p>
    <w:p w:rsidR="0006102A" w:rsidRDefault="00106E8F" w:rsidP="002F63F9">
      <w:pPr>
        <w:rPr>
          <w:rFonts w:asciiTheme="minorHAnsi" w:hAnsiTheme="minorHAnsi"/>
          <w:i/>
          <w:sz w:val="20"/>
          <w:szCs w:val="20"/>
          <w:lang w:val="en-GB"/>
        </w:rPr>
      </w:pPr>
      <w:r w:rsidRPr="007F7891">
        <w:rPr>
          <w:rFonts w:asciiTheme="minorHAnsi" w:hAnsiTheme="minorHAnsi"/>
          <w:i/>
          <w:sz w:val="20"/>
          <w:szCs w:val="20"/>
          <w:vertAlign w:val="superscript"/>
          <w:lang w:val="en-GB"/>
        </w:rPr>
        <w:t>1</w:t>
      </w:r>
      <w:r w:rsidR="006A7726" w:rsidRPr="007F7891">
        <w:rPr>
          <w:rFonts w:asciiTheme="minorHAnsi" w:hAnsiTheme="minorHAnsi"/>
          <w:i/>
          <w:sz w:val="20"/>
          <w:szCs w:val="20"/>
          <w:lang w:val="en-GB"/>
        </w:rPr>
        <w:t xml:space="preserve">University of </w:t>
      </w:r>
      <w:r w:rsidR="0099665C" w:rsidRPr="007F7891">
        <w:rPr>
          <w:rFonts w:asciiTheme="minorHAnsi" w:hAnsiTheme="minorHAnsi"/>
          <w:i/>
          <w:sz w:val="20"/>
          <w:szCs w:val="20"/>
          <w:lang w:val="en-GB"/>
        </w:rPr>
        <w:t xml:space="preserve">Pardubice, Studentská 95, 532 10 Pardubice </w:t>
      </w:r>
    </w:p>
    <w:p w:rsidR="00774FBB" w:rsidRPr="007F7891" w:rsidRDefault="00774FBB" w:rsidP="002F63F9">
      <w:pPr>
        <w:rPr>
          <w:rFonts w:asciiTheme="minorHAnsi" w:hAnsiTheme="minorHAnsi"/>
          <w:i/>
          <w:sz w:val="20"/>
          <w:szCs w:val="20"/>
          <w:lang w:val="en-GB"/>
        </w:rPr>
      </w:pPr>
    </w:p>
    <w:p w:rsidR="009B7080" w:rsidRPr="007F7891" w:rsidRDefault="0025327D" w:rsidP="009B7080">
      <w:pPr>
        <w:pStyle w:val="Nadpis2"/>
        <w:rPr>
          <w:rFonts w:asciiTheme="minorHAnsi" w:hAnsiTheme="minorHAnsi"/>
          <w:sz w:val="24"/>
          <w:szCs w:val="24"/>
        </w:rPr>
      </w:pPr>
      <w:r w:rsidRPr="007F7891">
        <w:rPr>
          <w:rFonts w:asciiTheme="minorHAnsi" w:hAnsiTheme="minorHAnsi"/>
          <w:sz w:val="24"/>
          <w:szCs w:val="24"/>
        </w:rPr>
        <w:t>Abstract</w:t>
      </w:r>
    </w:p>
    <w:p w:rsidR="006A7726" w:rsidRPr="007F7891" w:rsidRDefault="006A7726" w:rsidP="006A7726">
      <w:pPr>
        <w:jc w:val="both"/>
        <w:rPr>
          <w:rFonts w:asciiTheme="minorHAnsi" w:hAnsiTheme="minorHAnsi"/>
          <w:sz w:val="20"/>
          <w:szCs w:val="20"/>
          <w:lang w:val="en-GB"/>
        </w:rPr>
      </w:pPr>
      <w:r w:rsidRPr="007F7891">
        <w:rPr>
          <w:rFonts w:asciiTheme="minorHAnsi" w:hAnsiTheme="minorHAnsi"/>
          <w:sz w:val="20"/>
          <w:szCs w:val="20"/>
          <w:lang w:val="en-GB"/>
        </w:rPr>
        <w:t>The thermal hazard is a cause of many serious industrial accidents, typically represented by runaway reactions. The key to prevention of these accidents is to comprehend a complex behaviour of substances with the runaway potential. Classic theories of thermal explosion are capable to describe the problem of thermal runaway reaction. However these theories are difficult to be daily used. For the practical purposes of t</w:t>
      </w:r>
      <w:r w:rsidR="00A325B5">
        <w:rPr>
          <w:rFonts w:asciiTheme="minorHAnsi" w:hAnsiTheme="minorHAnsi"/>
          <w:sz w:val="20"/>
          <w:szCs w:val="20"/>
          <w:lang w:val="en-GB"/>
        </w:rPr>
        <w:t xml:space="preserve">he industrial safety a different </w:t>
      </w:r>
      <w:r w:rsidRPr="007F7891">
        <w:rPr>
          <w:rFonts w:asciiTheme="minorHAnsi" w:hAnsiTheme="minorHAnsi"/>
          <w:sz w:val="20"/>
          <w:szCs w:val="20"/>
          <w:lang w:val="en-GB"/>
        </w:rPr>
        <w:t xml:space="preserve">approach is possible. For the safety of a process where thermal hazard could exert, four temperatures must be known: adiabatic temperature rise, decomposition temperature, standard temperature of a process and boiling point of a reaction mixture. From the relation </w:t>
      </w:r>
      <w:r w:rsidR="00774FBB">
        <w:rPr>
          <w:rFonts w:asciiTheme="minorHAnsi" w:hAnsiTheme="minorHAnsi"/>
          <w:sz w:val="20"/>
          <w:szCs w:val="20"/>
          <w:lang w:val="en-GB"/>
        </w:rPr>
        <w:t>a</w:t>
      </w:r>
      <w:r w:rsidRPr="007F7891">
        <w:rPr>
          <w:rFonts w:asciiTheme="minorHAnsi" w:hAnsiTheme="minorHAnsi"/>
          <w:sz w:val="20"/>
          <w:szCs w:val="20"/>
          <w:lang w:val="en-GB"/>
        </w:rPr>
        <w:t xml:space="preserve">mong these parameters the processes can be then divided into several classes of hazard level. Standard temperature of the process is given by technology; the boiling point of the reaction mixture is given by its composition. The determination of decomposition temperature and adiabatic temperature rise is a complex problem. Usually thermoanalytical methods are used to obtain these parameters. One of the suitable methods is accelerating rate calorimetry (ARC). Using of ARC to determine </w:t>
      </w:r>
      <w:r w:rsidR="007F7891" w:rsidRPr="007F7891">
        <w:rPr>
          <w:rFonts w:asciiTheme="minorHAnsi" w:hAnsiTheme="minorHAnsi"/>
          <w:sz w:val="20"/>
          <w:szCs w:val="20"/>
          <w:lang w:val="en-GB"/>
        </w:rPr>
        <w:t xml:space="preserve">the </w:t>
      </w:r>
      <w:r w:rsidR="00B7312F" w:rsidRPr="007F7891">
        <w:rPr>
          <w:rFonts w:asciiTheme="minorHAnsi" w:hAnsiTheme="minorHAnsi"/>
          <w:sz w:val="20"/>
          <w:szCs w:val="20"/>
          <w:lang w:val="en-GB"/>
        </w:rPr>
        <w:t xml:space="preserve">decomposition temperature and </w:t>
      </w:r>
      <w:r w:rsidR="007F7891" w:rsidRPr="007F7891">
        <w:rPr>
          <w:rFonts w:asciiTheme="minorHAnsi" w:hAnsiTheme="minorHAnsi"/>
          <w:sz w:val="20"/>
          <w:szCs w:val="20"/>
          <w:lang w:val="en-GB"/>
        </w:rPr>
        <w:t xml:space="preserve">the </w:t>
      </w:r>
      <w:r w:rsidR="00B7312F" w:rsidRPr="007F7891">
        <w:rPr>
          <w:rFonts w:asciiTheme="minorHAnsi" w:hAnsiTheme="minorHAnsi"/>
          <w:sz w:val="20"/>
          <w:szCs w:val="20"/>
          <w:lang w:val="en-GB"/>
        </w:rPr>
        <w:t xml:space="preserve">adiabatic temperature rise </w:t>
      </w:r>
      <w:r w:rsidR="007F7891" w:rsidRPr="007F7891">
        <w:rPr>
          <w:rFonts w:asciiTheme="minorHAnsi" w:hAnsiTheme="minorHAnsi"/>
          <w:sz w:val="20"/>
          <w:szCs w:val="20"/>
          <w:lang w:val="en-GB"/>
        </w:rPr>
        <w:t xml:space="preserve">is </w:t>
      </w:r>
      <w:r w:rsidRPr="007F7891">
        <w:rPr>
          <w:rFonts w:asciiTheme="minorHAnsi" w:hAnsiTheme="minorHAnsi"/>
          <w:sz w:val="20"/>
          <w:szCs w:val="20"/>
          <w:lang w:val="en-GB"/>
        </w:rPr>
        <w:t xml:space="preserve">a main topic of this article. Compared to other thermoanalytical methods, ARC provides quite unique experimental </w:t>
      </w:r>
      <w:r w:rsidRPr="00D95B32">
        <w:rPr>
          <w:rFonts w:asciiTheme="minorHAnsi" w:hAnsiTheme="minorHAnsi"/>
          <w:sz w:val="20"/>
          <w:szCs w:val="20"/>
          <w:lang w:val="en-GB"/>
        </w:rPr>
        <w:t xml:space="preserve">conditions. The relatively large amount of the sample is used; pressure above the decomposing sample is monitored. The calorimeter simulates adiabatic decomposition of the </w:t>
      </w:r>
      <w:r w:rsidR="00866F9E" w:rsidRPr="00D95B32">
        <w:rPr>
          <w:rFonts w:asciiTheme="minorHAnsi" w:hAnsiTheme="minorHAnsi"/>
          <w:sz w:val="20"/>
          <w:szCs w:val="20"/>
          <w:lang w:val="en-GB"/>
        </w:rPr>
        <w:t>sample. The</w:t>
      </w:r>
      <w:r w:rsidRPr="00D95B32">
        <w:rPr>
          <w:rFonts w:asciiTheme="minorHAnsi" w:hAnsiTheme="minorHAnsi"/>
          <w:sz w:val="20"/>
          <w:szCs w:val="20"/>
          <w:lang w:val="en-GB"/>
        </w:rPr>
        <w:t xml:space="preserve"> decomposition of dibenzoyl peroxide solution and pentrite (pentaerythritol tetranitrate) was studied with ARC. The determination of the adiabatic temperature rise, the decomposition temperature and the influence of a sample </w:t>
      </w:r>
      <w:r w:rsidR="00D95B32" w:rsidRPr="00D95B32">
        <w:rPr>
          <w:rFonts w:asciiTheme="minorHAnsi" w:hAnsiTheme="minorHAnsi"/>
          <w:sz w:val="20"/>
          <w:szCs w:val="20"/>
          <w:lang w:val="en-GB"/>
        </w:rPr>
        <w:t xml:space="preserve">and bomb </w:t>
      </w:r>
      <w:r w:rsidRPr="00D95B32">
        <w:rPr>
          <w:rFonts w:asciiTheme="minorHAnsi" w:hAnsiTheme="minorHAnsi"/>
          <w:sz w:val="20"/>
          <w:szCs w:val="20"/>
          <w:lang w:val="en-GB"/>
        </w:rPr>
        <w:t>mass</w:t>
      </w:r>
      <w:r w:rsidR="00D95B32" w:rsidRPr="00D95B32">
        <w:rPr>
          <w:rFonts w:asciiTheme="minorHAnsi" w:hAnsiTheme="minorHAnsi"/>
          <w:sz w:val="20"/>
          <w:szCs w:val="20"/>
          <w:lang w:val="en-GB"/>
        </w:rPr>
        <w:t>es</w:t>
      </w:r>
      <w:r w:rsidRPr="00D95B32">
        <w:rPr>
          <w:rFonts w:asciiTheme="minorHAnsi" w:hAnsiTheme="minorHAnsi"/>
          <w:sz w:val="20"/>
          <w:szCs w:val="20"/>
          <w:lang w:val="en-GB"/>
        </w:rPr>
        <w:t xml:space="preserve"> and concentration on both parameters are discussed.</w:t>
      </w:r>
    </w:p>
    <w:p w:rsidR="0025327D" w:rsidRPr="007F7891" w:rsidRDefault="009B7080" w:rsidP="0025327D">
      <w:pPr>
        <w:pStyle w:val="Nadpis2"/>
        <w:rPr>
          <w:rFonts w:asciiTheme="minorHAnsi" w:hAnsiTheme="minorHAnsi"/>
          <w:sz w:val="24"/>
          <w:szCs w:val="24"/>
        </w:rPr>
      </w:pPr>
      <w:r w:rsidRPr="007F7891">
        <w:rPr>
          <w:rFonts w:asciiTheme="minorHAnsi" w:hAnsiTheme="minorHAnsi"/>
          <w:sz w:val="24"/>
          <w:szCs w:val="24"/>
        </w:rPr>
        <w:t>Introduction</w:t>
      </w:r>
    </w:p>
    <w:p w:rsidR="007F7891" w:rsidRDefault="007F7891"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 xml:space="preserve">The thermal hazard is a cause of many serious industrial accidents, typically represented by runaway reactions. The key to prevention of these accidents is to comprehend a complex behaviour of substances with the runaway potential. </w:t>
      </w:r>
    </w:p>
    <w:p w:rsidR="00CF09BF" w:rsidRPr="007F7891" w:rsidRDefault="00CF09BF"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 xml:space="preserve">One example for all is the accident at T2 Laboratories, where four people died and thirty two were injured, is good example which demonstrates, that full comprehension of thermokinetic </w:t>
      </w:r>
      <w:r w:rsidR="00866F9E" w:rsidRPr="007F7891">
        <w:rPr>
          <w:rFonts w:asciiTheme="minorHAnsi" w:hAnsiTheme="minorHAnsi"/>
          <w:sz w:val="20"/>
          <w:szCs w:val="20"/>
          <w:lang w:val="en-GB"/>
        </w:rPr>
        <w:t>behaviour</w:t>
      </w:r>
      <w:r w:rsidRPr="007F7891">
        <w:rPr>
          <w:rFonts w:asciiTheme="minorHAnsi" w:hAnsiTheme="minorHAnsi"/>
          <w:sz w:val="20"/>
          <w:szCs w:val="20"/>
          <w:lang w:val="en-GB"/>
        </w:rPr>
        <w:t xml:space="preserve"> of reactions is necessary if they are supposed to be run safely at industrial scale.</w:t>
      </w:r>
      <w:r w:rsidRPr="00CF09BF">
        <w:rPr>
          <w:rFonts w:asciiTheme="minorHAnsi" w:hAnsiTheme="minorHAnsi"/>
          <w:sz w:val="20"/>
          <w:szCs w:val="20"/>
          <w:vertAlign w:val="superscript"/>
          <w:lang w:val="en-GB"/>
        </w:rPr>
        <w:t>1</w:t>
      </w:r>
      <w:r w:rsidRPr="007F7891">
        <w:rPr>
          <w:rFonts w:asciiTheme="minorHAnsi" w:hAnsiTheme="minorHAnsi"/>
          <w:color w:val="241F20"/>
          <w:sz w:val="20"/>
          <w:szCs w:val="20"/>
          <w:lang w:val="en-GB"/>
        </w:rPr>
        <w:t xml:space="preserve"> This accident could have been probably prevented if a proper thermometric measurement was performed before designing the process, because in this particular case the explosion of the reactor was caused by </w:t>
      </w:r>
      <w:r w:rsidR="00526CE3">
        <w:rPr>
          <w:rFonts w:asciiTheme="minorHAnsi" w:hAnsiTheme="minorHAnsi"/>
          <w:color w:val="241F20"/>
          <w:sz w:val="20"/>
          <w:szCs w:val="20"/>
          <w:lang w:val="en-GB"/>
        </w:rPr>
        <w:t>the undesired side reaction. This reaction</w:t>
      </w:r>
      <w:r w:rsidRPr="007F7891">
        <w:rPr>
          <w:rFonts w:asciiTheme="minorHAnsi" w:hAnsiTheme="minorHAnsi"/>
          <w:color w:val="241F20"/>
          <w:sz w:val="20"/>
          <w:szCs w:val="20"/>
          <w:lang w:val="en-GB"/>
        </w:rPr>
        <w:t xml:space="preserve"> could be detected by an appropriate calorimetric method.</w:t>
      </w:r>
    </w:p>
    <w:p w:rsidR="007F7891" w:rsidRPr="007F7891" w:rsidRDefault="007F7891"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Classic theories of thermal explosion are capable to describe the problem of thermal runaway reaction. However these theories are difficult to be daily used. First problem is a proper material description, mainly the deco</w:t>
      </w:r>
      <w:r w:rsidR="006A1BB6">
        <w:rPr>
          <w:rFonts w:asciiTheme="minorHAnsi" w:hAnsiTheme="minorHAnsi"/>
          <w:sz w:val="20"/>
          <w:szCs w:val="20"/>
          <w:lang w:val="en-GB"/>
        </w:rPr>
        <w:t>m</w:t>
      </w:r>
      <w:r w:rsidRPr="007F7891">
        <w:rPr>
          <w:rFonts w:asciiTheme="minorHAnsi" w:hAnsiTheme="minorHAnsi"/>
          <w:sz w:val="20"/>
          <w:szCs w:val="20"/>
          <w:lang w:val="en-GB"/>
        </w:rPr>
        <w:t xml:space="preserve">position kinetics. Second problem is solving of the resulting equations. </w:t>
      </w:r>
    </w:p>
    <w:p w:rsidR="007F7891" w:rsidRPr="007F7891" w:rsidRDefault="007F7891"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For the practical purposes of the industrial safety a different approach is possible.</w:t>
      </w:r>
      <w:r w:rsidR="00CF09BF">
        <w:rPr>
          <w:rFonts w:asciiTheme="minorHAnsi" w:hAnsiTheme="minorHAnsi"/>
          <w:sz w:val="20"/>
          <w:szCs w:val="20"/>
          <w:vertAlign w:val="superscript"/>
          <w:lang w:val="en-GB"/>
        </w:rPr>
        <w:t>2</w:t>
      </w:r>
      <w:r w:rsidRPr="007F7891">
        <w:rPr>
          <w:rFonts w:asciiTheme="minorHAnsi" w:hAnsiTheme="minorHAnsi"/>
          <w:sz w:val="20"/>
          <w:szCs w:val="20"/>
          <w:lang w:val="en-GB"/>
        </w:rPr>
        <w:t xml:space="preserve"> </w:t>
      </w:r>
      <w:proofErr w:type="gramStart"/>
      <w:r w:rsidRPr="007F7891">
        <w:rPr>
          <w:rFonts w:asciiTheme="minorHAnsi" w:hAnsiTheme="minorHAnsi"/>
          <w:sz w:val="20"/>
          <w:szCs w:val="20"/>
          <w:lang w:val="en-GB"/>
        </w:rPr>
        <w:t>For</w:t>
      </w:r>
      <w:proofErr w:type="gramEnd"/>
      <w:r w:rsidRPr="007F7891">
        <w:rPr>
          <w:rFonts w:asciiTheme="minorHAnsi" w:hAnsiTheme="minorHAnsi"/>
          <w:sz w:val="20"/>
          <w:szCs w:val="20"/>
          <w:lang w:val="en-GB"/>
        </w:rPr>
        <w:t xml:space="preserve"> the safety of a process where thermal hazard could exert, four temperatures must be known: adiabatic temperature rise, decomposition temperature, standard temperature of a process and boiling point of a reaction mixture. From the relation among these parameters the processes can be then divided into several classes of hazard level. </w:t>
      </w:r>
    </w:p>
    <w:p w:rsidR="007F7891" w:rsidRDefault="007F7891"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Standard temperature of the process is given by technology; the boiling point of the reaction mixture is given by its composition. The determination of decomposition temperature and adiabatic temperature rise is a complex problem. Usually thermoanalytical methods are used to obtain these parameters. One of the suitable methods is accelerating rate calorimetry (ARC).</w:t>
      </w:r>
      <w:r w:rsidR="00CF09BF">
        <w:rPr>
          <w:rFonts w:asciiTheme="minorHAnsi" w:hAnsiTheme="minorHAnsi"/>
          <w:sz w:val="20"/>
          <w:szCs w:val="20"/>
          <w:vertAlign w:val="superscript"/>
          <w:lang w:val="en-GB"/>
        </w:rPr>
        <w:t>3</w:t>
      </w:r>
      <w:r w:rsidRPr="007F7891">
        <w:rPr>
          <w:rFonts w:asciiTheme="minorHAnsi" w:hAnsiTheme="minorHAnsi"/>
          <w:sz w:val="20"/>
          <w:szCs w:val="20"/>
          <w:lang w:val="en-GB"/>
        </w:rPr>
        <w:t xml:space="preserve"> Using of ARC to determine these two parameters is a main topic of this article.</w:t>
      </w:r>
    </w:p>
    <w:p w:rsidR="00475B0A" w:rsidRPr="00475B0A" w:rsidRDefault="00475B0A" w:rsidP="00475B0A">
      <w:pPr>
        <w:pStyle w:val="Nadpis2"/>
        <w:rPr>
          <w:rFonts w:asciiTheme="minorHAnsi" w:hAnsiTheme="minorHAnsi"/>
        </w:rPr>
      </w:pPr>
      <w:r w:rsidRPr="00475B0A">
        <w:rPr>
          <w:rFonts w:asciiTheme="minorHAnsi" w:hAnsiTheme="minorHAnsi"/>
        </w:rPr>
        <w:t>Accelerating rate calorimetry</w:t>
      </w:r>
    </w:p>
    <w:p w:rsidR="007F7891" w:rsidRPr="007F7891" w:rsidRDefault="00475B0A" w:rsidP="007D47A9">
      <w:pPr>
        <w:ind w:firstLine="426"/>
        <w:jc w:val="both"/>
        <w:rPr>
          <w:rFonts w:asciiTheme="minorHAnsi" w:hAnsiTheme="minorHAnsi"/>
          <w:sz w:val="20"/>
          <w:szCs w:val="20"/>
          <w:lang w:val="en-GB"/>
        </w:rPr>
      </w:pPr>
      <w:r>
        <w:rPr>
          <w:rFonts w:asciiTheme="minorHAnsi" w:hAnsiTheme="minorHAnsi"/>
          <w:sz w:val="20"/>
          <w:szCs w:val="20"/>
          <w:lang w:val="en-GB"/>
        </w:rPr>
        <w:t>During the measurement the</w:t>
      </w:r>
      <w:r w:rsidR="007F7891" w:rsidRPr="007F7891">
        <w:rPr>
          <w:rFonts w:asciiTheme="minorHAnsi" w:hAnsiTheme="minorHAnsi"/>
          <w:sz w:val="20"/>
          <w:szCs w:val="20"/>
          <w:lang w:val="en-GB"/>
        </w:rPr>
        <w:t xml:space="preserve"> sample is enclosed in a small bomb enabling monitoring of</w:t>
      </w:r>
      <w:r>
        <w:rPr>
          <w:rFonts w:asciiTheme="minorHAnsi" w:hAnsiTheme="minorHAnsi"/>
          <w:sz w:val="20"/>
          <w:szCs w:val="20"/>
          <w:lang w:val="en-GB"/>
        </w:rPr>
        <w:t xml:space="preserve"> temperature and</w:t>
      </w:r>
      <w:r w:rsidR="007F7891" w:rsidRPr="007F7891">
        <w:rPr>
          <w:rFonts w:asciiTheme="minorHAnsi" w:hAnsiTheme="minorHAnsi"/>
          <w:sz w:val="20"/>
          <w:szCs w:val="20"/>
          <w:lang w:val="en-GB"/>
        </w:rPr>
        <w:t xml:space="preserve"> pressure</w:t>
      </w:r>
      <w:r>
        <w:rPr>
          <w:rFonts w:asciiTheme="minorHAnsi" w:hAnsiTheme="minorHAnsi"/>
          <w:sz w:val="20"/>
          <w:szCs w:val="20"/>
          <w:lang w:val="en-GB"/>
        </w:rPr>
        <w:t xml:space="preserve">. </w:t>
      </w:r>
      <w:r w:rsidR="00C939C5">
        <w:rPr>
          <w:rFonts w:asciiTheme="minorHAnsi" w:hAnsiTheme="minorHAnsi"/>
          <w:sz w:val="20"/>
          <w:szCs w:val="20"/>
          <w:lang w:val="en-GB"/>
        </w:rPr>
        <w:t>Usually</w:t>
      </w:r>
      <w:r w:rsidR="007F7891" w:rsidRPr="007F7891">
        <w:rPr>
          <w:rFonts w:asciiTheme="minorHAnsi" w:hAnsiTheme="minorHAnsi"/>
          <w:sz w:val="20"/>
          <w:szCs w:val="20"/>
          <w:lang w:val="en-GB"/>
        </w:rPr>
        <w:t xml:space="preserve"> the sample</w:t>
      </w:r>
      <w:r w:rsidR="00C939C5">
        <w:rPr>
          <w:rFonts w:asciiTheme="minorHAnsi" w:hAnsiTheme="minorHAnsi"/>
          <w:sz w:val="20"/>
          <w:szCs w:val="20"/>
          <w:lang w:val="en-GB"/>
        </w:rPr>
        <w:t xml:space="preserve"> is</w:t>
      </w:r>
      <w:r w:rsidR="007F7891" w:rsidRPr="007F7891">
        <w:rPr>
          <w:rFonts w:asciiTheme="minorHAnsi" w:hAnsiTheme="minorHAnsi"/>
          <w:sz w:val="20"/>
          <w:szCs w:val="20"/>
          <w:lang w:val="en-GB"/>
        </w:rPr>
        <w:t xml:space="preserve"> heated to certain temperature and it is maintained at this temperature for certain time (e.g. 15 min). If the</w:t>
      </w:r>
      <w:r w:rsidR="00C939C5">
        <w:rPr>
          <w:rFonts w:asciiTheme="minorHAnsi" w:hAnsiTheme="minorHAnsi"/>
          <w:sz w:val="20"/>
          <w:szCs w:val="20"/>
          <w:lang w:val="en-GB"/>
        </w:rPr>
        <w:t xml:space="preserve"> decomposition does not occur</w:t>
      </w:r>
      <w:r w:rsidR="007F7891" w:rsidRPr="007F7891">
        <w:rPr>
          <w:rFonts w:asciiTheme="minorHAnsi" w:hAnsiTheme="minorHAnsi"/>
          <w:sz w:val="20"/>
          <w:szCs w:val="20"/>
          <w:lang w:val="en-GB"/>
        </w:rPr>
        <w:t>, the temperature is elevated (e.g. by 5 °C), and the whole procedure is repeated until</w:t>
      </w:r>
      <w:r w:rsidR="00C939C5">
        <w:rPr>
          <w:rFonts w:asciiTheme="minorHAnsi" w:hAnsiTheme="minorHAnsi"/>
          <w:sz w:val="20"/>
          <w:szCs w:val="20"/>
          <w:lang w:val="en-GB"/>
        </w:rPr>
        <w:t xml:space="preserve"> the decomposition</w:t>
      </w:r>
      <w:r w:rsidR="007F7891" w:rsidRPr="007F7891">
        <w:rPr>
          <w:rFonts w:asciiTheme="minorHAnsi" w:hAnsiTheme="minorHAnsi"/>
          <w:sz w:val="20"/>
          <w:szCs w:val="20"/>
          <w:lang w:val="en-GB"/>
        </w:rPr>
        <w:t xml:space="preserve"> starts. A typical stairs-like temperature profile is achieved in this “heat-wait-search” measuring mode. If the sample begins to decompose exothermically, the instrument is switched into adiabatic mode. The temperature around the bomb with the sample is maintained at the same temperature, which is measured on the surface of the bomb. The decomposition of the sample manifests itself as a temperature and pressure increase.</w:t>
      </w:r>
    </w:p>
    <w:p w:rsidR="00BF2D07" w:rsidRDefault="007F7891"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lastRenderedPageBreak/>
        <w:t>Compared to other thermo</w:t>
      </w:r>
      <w:r>
        <w:rPr>
          <w:rFonts w:asciiTheme="minorHAnsi" w:hAnsiTheme="minorHAnsi"/>
          <w:sz w:val="20"/>
          <w:szCs w:val="20"/>
          <w:lang w:val="en-GB"/>
        </w:rPr>
        <w:t>analytic</w:t>
      </w:r>
      <w:r w:rsidR="00CF09BF">
        <w:rPr>
          <w:rFonts w:asciiTheme="minorHAnsi" w:hAnsiTheme="minorHAnsi"/>
          <w:sz w:val="20"/>
          <w:szCs w:val="20"/>
          <w:lang w:val="en-GB"/>
        </w:rPr>
        <w:t>a</w:t>
      </w:r>
      <w:r>
        <w:rPr>
          <w:rFonts w:asciiTheme="minorHAnsi" w:hAnsiTheme="minorHAnsi"/>
          <w:sz w:val="20"/>
          <w:szCs w:val="20"/>
          <w:lang w:val="en-GB"/>
        </w:rPr>
        <w:t>l</w:t>
      </w:r>
      <w:r w:rsidRPr="007F7891">
        <w:rPr>
          <w:rFonts w:asciiTheme="minorHAnsi" w:hAnsiTheme="minorHAnsi"/>
          <w:sz w:val="20"/>
          <w:szCs w:val="20"/>
          <w:lang w:val="en-GB"/>
        </w:rPr>
        <w:t xml:space="preserve"> methods, ARC provides quite unique experimental conditions. The relatively large amount of the sample is used; pressure above the decomposing sample is monitored. The calorimeter simulates </w:t>
      </w:r>
      <w:r w:rsidR="00BF2D07">
        <w:rPr>
          <w:rFonts w:asciiTheme="minorHAnsi" w:hAnsiTheme="minorHAnsi"/>
          <w:sz w:val="20"/>
          <w:szCs w:val="20"/>
          <w:lang w:val="en-GB"/>
        </w:rPr>
        <w:t xml:space="preserve">almost </w:t>
      </w:r>
      <w:r w:rsidRPr="007F7891">
        <w:rPr>
          <w:rFonts w:asciiTheme="minorHAnsi" w:hAnsiTheme="minorHAnsi"/>
          <w:sz w:val="20"/>
          <w:szCs w:val="20"/>
          <w:lang w:val="en-GB"/>
        </w:rPr>
        <w:t>adiabatic decomposition of the sample</w:t>
      </w:r>
      <w:r w:rsidR="00BF2D07">
        <w:rPr>
          <w:rFonts w:asciiTheme="minorHAnsi" w:hAnsiTheme="minorHAnsi"/>
          <w:sz w:val="20"/>
          <w:szCs w:val="20"/>
          <w:lang w:val="en-GB"/>
        </w:rPr>
        <w:t>. A measure of adiabacity can be expressed with so called Φ</w:t>
      </w:r>
      <w:r w:rsidR="007B301C">
        <w:rPr>
          <w:rFonts w:asciiTheme="minorHAnsi" w:hAnsiTheme="minorHAnsi"/>
          <w:sz w:val="20"/>
          <w:szCs w:val="20"/>
          <w:lang w:val="en-GB"/>
        </w:rPr>
        <w:t>-factor</w:t>
      </w:r>
      <w:r w:rsidR="00BF2D07">
        <w:rPr>
          <w:rFonts w:asciiTheme="minorHAnsi" w:hAnsiTheme="minorHAnsi"/>
          <w:sz w:val="20"/>
          <w:szCs w:val="20"/>
          <w:lang w:val="en-GB"/>
        </w:rPr>
        <w:t xml:space="preserve"> which quantifies the </w:t>
      </w:r>
      <w:r w:rsidR="007B301C">
        <w:rPr>
          <w:rFonts w:asciiTheme="minorHAnsi" w:hAnsiTheme="minorHAnsi"/>
          <w:sz w:val="20"/>
          <w:szCs w:val="20"/>
          <w:lang w:val="en-GB"/>
        </w:rPr>
        <w:t>relation between</w:t>
      </w:r>
      <w:r w:rsidR="00BF2D07">
        <w:rPr>
          <w:rFonts w:asciiTheme="minorHAnsi" w:hAnsiTheme="minorHAnsi"/>
          <w:sz w:val="20"/>
          <w:szCs w:val="20"/>
          <w:lang w:val="en-GB"/>
        </w:rPr>
        <w:t xml:space="preserve"> thermal masses of sample and </w:t>
      </w:r>
      <w:r w:rsidR="007B301C">
        <w:rPr>
          <w:rFonts w:asciiTheme="minorHAnsi" w:hAnsiTheme="minorHAnsi"/>
          <w:sz w:val="20"/>
          <w:szCs w:val="20"/>
          <w:lang w:val="en-GB"/>
        </w:rPr>
        <w:t>its surroundings:</w:t>
      </w:r>
    </w:p>
    <w:p w:rsidR="007B301C" w:rsidRDefault="007B301C" w:rsidP="007D47A9">
      <w:pPr>
        <w:ind w:firstLine="426"/>
        <w:jc w:val="both"/>
        <w:rPr>
          <w:rFonts w:asciiTheme="minorHAnsi" w:hAnsiTheme="minorHAnsi"/>
          <w:sz w:val="20"/>
          <w:szCs w:val="20"/>
          <w:lang w:val="en-GB"/>
        </w:rPr>
      </w:pPr>
    </w:p>
    <w:p w:rsidR="00BF2D07" w:rsidRPr="00C939C5" w:rsidRDefault="00D15D44" w:rsidP="007D47A9">
      <w:pPr>
        <w:ind w:firstLine="426"/>
        <w:jc w:val="both"/>
        <w:rPr>
          <w:rFonts w:asciiTheme="minorHAnsi" w:hAnsiTheme="minorHAnsi"/>
        </w:rPr>
      </w:pPr>
      <m:oMathPara>
        <m:oMathParaPr>
          <m:jc m:val="left"/>
        </m:oMathParaPr>
        <m:oMath>
          <m:r>
            <m:rPr>
              <m:nor/>
            </m:rPr>
            <w:rPr>
              <w:rFonts w:asciiTheme="minorHAnsi" w:hAnsiTheme="minorHAnsi"/>
              <w:sz w:val="20"/>
              <w:szCs w:val="20"/>
              <w:lang w:val="en-GB"/>
            </w:rPr>
            <m:t>Φ</m:t>
          </m:r>
          <m:r>
            <m:rPr>
              <m:nor/>
            </m:rPr>
            <w:rPr>
              <w:rFonts w:ascii="Cambria Math" w:hAnsiTheme="minorHAnsi"/>
              <w:sz w:val="20"/>
              <w:szCs w:val="20"/>
              <w:lang w:val="en-GB"/>
            </w:rPr>
            <m:t xml:space="preserve"> = 1 + </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B</m:t>
                  </m:r>
                </m:sub>
              </m:sSub>
              <m:sSub>
                <m:sSubPr>
                  <m:ctrlPr>
                    <w:rPr>
                      <w:rFonts w:ascii="Cambria Math" w:hAnsi="Cambria Math"/>
                      <w:i/>
                    </w:rPr>
                  </m:ctrlPr>
                </m:sSubPr>
                <m:e>
                  <m:r>
                    <w:rPr>
                      <w:rFonts w:ascii="Cambria Math" w:hAnsi="Cambria Math"/>
                    </w:rPr>
                    <m:t>c</m:t>
                  </m:r>
                </m:e>
                <m:sub>
                  <m:r>
                    <w:rPr>
                      <w:rFonts w:ascii="Cambria Math" w:hAnsi="Cambria Math"/>
                    </w:rPr>
                    <m:t>B</m:t>
                  </m:r>
                </m:sub>
              </m:sSub>
            </m:num>
            <m:den>
              <m:sSub>
                <m:sSubPr>
                  <m:ctrlPr>
                    <w:rPr>
                      <w:rFonts w:ascii="Cambria Math" w:hAnsi="Cambria Math"/>
                      <w:i/>
                    </w:rPr>
                  </m:ctrlPr>
                </m:sSubPr>
                <m:e>
                  <m:r>
                    <w:rPr>
                      <w:rFonts w:ascii="Cambria Math" w:hAnsi="Cambria Math"/>
                    </w:rPr>
                    <m:t>m</m:t>
                  </m:r>
                </m:e>
                <m:sub>
                  <m:r>
                    <w:rPr>
                      <w:rFonts w:ascii="Cambria Math" w:hAnsi="Cambria Math"/>
                    </w:rPr>
                    <m:t>S</m:t>
                  </m:r>
                </m:sub>
              </m:sSub>
              <m:sSub>
                <m:sSubPr>
                  <m:ctrlPr>
                    <w:rPr>
                      <w:rFonts w:ascii="Cambria Math" w:hAnsi="Cambria Math"/>
                      <w:i/>
                    </w:rPr>
                  </m:ctrlPr>
                </m:sSubPr>
                <m:e>
                  <m:r>
                    <w:rPr>
                      <w:rFonts w:ascii="Cambria Math" w:hAnsi="Cambria Math"/>
                    </w:rPr>
                    <m:t>c</m:t>
                  </m:r>
                </m:e>
                <m:sub>
                  <m:r>
                    <w:rPr>
                      <w:rFonts w:ascii="Cambria Math" w:hAnsi="Cambria Math"/>
                    </w:rPr>
                    <m:t>S</m:t>
                  </m:r>
                </m:sub>
              </m:sSub>
            </m:den>
          </m:f>
        </m:oMath>
      </m:oMathPara>
    </w:p>
    <w:p w:rsidR="00C939C5" w:rsidRPr="000428C0" w:rsidRDefault="00C939C5" w:rsidP="007D47A9">
      <w:pPr>
        <w:ind w:firstLine="426"/>
        <w:jc w:val="both"/>
        <w:rPr>
          <w:rFonts w:asciiTheme="minorHAnsi" w:hAnsiTheme="minorHAnsi"/>
          <w:sz w:val="20"/>
          <w:szCs w:val="20"/>
          <w:lang w:val="en-GB"/>
        </w:rPr>
      </w:pPr>
    </w:p>
    <w:p w:rsidR="007B301C" w:rsidRPr="007B301C" w:rsidRDefault="00C939C5" w:rsidP="007D47A9">
      <w:pPr>
        <w:ind w:firstLine="426"/>
        <w:jc w:val="both"/>
        <w:rPr>
          <w:rFonts w:asciiTheme="minorHAnsi" w:hAnsiTheme="minorHAnsi"/>
          <w:sz w:val="20"/>
          <w:szCs w:val="20"/>
          <w:lang w:val="en-GB"/>
        </w:rPr>
      </w:pPr>
      <w:r w:rsidRPr="00C939C5">
        <w:rPr>
          <w:rFonts w:asciiTheme="minorHAnsi" w:hAnsiTheme="minorHAnsi"/>
          <w:sz w:val="20"/>
          <w:szCs w:val="20"/>
          <w:lang w:val="en-GB"/>
        </w:rPr>
        <w:t xml:space="preserve">Where </w:t>
      </w:r>
      <w:r w:rsidR="007B301C" w:rsidRPr="00C939C5">
        <w:rPr>
          <w:rFonts w:asciiTheme="minorHAnsi" w:hAnsiTheme="minorHAnsi"/>
          <w:sz w:val="20"/>
          <w:szCs w:val="20"/>
          <w:lang w:val="en-GB"/>
        </w:rPr>
        <w:t>m</w:t>
      </w:r>
      <w:r w:rsidR="007B301C">
        <w:rPr>
          <w:rFonts w:asciiTheme="minorHAnsi" w:hAnsiTheme="minorHAnsi"/>
          <w:sz w:val="20"/>
          <w:szCs w:val="20"/>
          <w:lang w:val="en-GB"/>
        </w:rPr>
        <w:t xml:space="preserve"> </w:t>
      </w:r>
      <w:proofErr w:type="gramStart"/>
      <w:r w:rsidR="007B301C">
        <w:rPr>
          <w:rFonts w:asciiTheme="minorHAnsi" w:hAnsiTheme="minorHAnsi"/>
          <w:sz w:val="20"/>
          <w:szCs w:val="20"/>
          <w:lang w:val="en-GB"/>
        </w:rPr>
        <w:t>are</w:t>
      </w:r>
      <w:proofErr w:type="gramEnd"/>
      <w:r w:rsidR="007B301C">
        <w:rPr>
          <w:rFonts w:asciiTheme="minorHAnsi" w:hAnsiTheme="minorHAnsi"/>
          <w:sz w:val="20"/>
          <w:szCs w:val="20"/>
          <w:lang w:val="en-GB"/>
        </w:rPr>
        <w:t xml:space="preserve"> masse</w:t>
      </w:r>
      <w:r w:rsidR="00D56B12">
        <w:rPr>
          <w:rFonts w:asciiTheme="minorHAnsi" w:hAnsiTheme="minorHAnsi"/>
          <w:sz w:val="20"/>
          <w:szCs w:val="20"/>
          <w:lang w:val="en-GB"/>
        </w:rPr>
        <w:t>s</w:t>
      </w:r>
      <w:r w:rsidR="007B301C">
        <w:rPr>
          <w:rFonts w:asciiTheme="minorHAnsi" w:hAnsiTheme="minorHAnsi"/>
          <w:sz w:val="20"/>
          <w:szCs w:val="20"/>
          <w:lang w:val="en-GB"/>
        </w:rPr>
        <w:t xml:space="preserve">, </w:t>
      </w:r>
      <w:r w:rsidR="007B301C" w:rsidRPr="00C939C5">
        <w:rPr>
          <w:rFonts w:asciiTheme="minorHAnsi" w:hAnsiTheme="minorHAnsi"/>
          <w:sz w:val="20"/>
          <w:szCs w:val="20"/>
          <w:lang w:val="en-GB"/>
        </w:rPr>
        <w:t>c</w:t>
      </w:r>
      <w:r w:rsidR="007B301C">
        <w:rPr>
          <w:rFonts w:asciiTheme="minorHAnsi" w:hAnsiTheme="minorHAnsi"/>
          <w:sz w:val="20"/>
          <w:szCs w:val="20"/>
          <w:lang w:val="en-GB"/>
        </w:rPr>
        <w:t xml:space="preserve"> are specific heats, indices S are for the sample and indices B</w:t>
      </w:r>
      <w:r w:rsidR="00E57515">
        <w:rPr>
          <w:rFonts w:asciiTheme="minorHAnsi" w:hAnsiTheme="minorHAnsi"/>
          <w:sz w:val="20"/>
          <w:szCs w:val="20"/>
          <w:lang w:val="en-GB"/>
        </w:rPr>
        <w:t xml:space="preserve"> </w:t>
      </w:r>
      <w:r w:rsidR="007B301C">
        <w:rPr>
          <w:rFonts w:asciiTheme="minorHAnsi" w:hAnsiTheme="minorHAnsi"/>
          <w:sz w:val="20"/>
          <w:szCs w:val="20"/>
          <w:lang w:val="en-GB"/>
        </w:rPr>
        <w:t>are for the surroundings (bomb). The fully adiabatic process has the Φ-factor equal to 1. Otherwise, the surroundings can serve as a cooler, since a part of heat evolved from the decomposing sample is used for the heating of the surroundings. The results of measurements with a high Φ-factor should be corrected to achieve true adiabatic values.</w:t>
      </w:r>
    </w:p>
    <w:p w:rsidR="00CF09BF" w:rsidRDefault="00CF09BF" w:rsidP="007D47A9">
      <w:pPr>
        <w:ind w:firstLine="426"/>
        <w:jc w:val="both"/>
        <w:rPr>
          <w:rFonts w:asciiTheme="minorHAnsi" w:hAnsiTheme="minorHAnsi"/>
          <w:sz w:val="20"/>
          <w:szCs w:val="20"/>
          <w:lang w:val="en-GB"/>
        </w:rPr>
      </w:pPr>
      <w:r w:rsidRPr="007F7891">
        <w:rPr>
          <w:rFonts w:asciiTheme="minorHAnsi" w:hAnsiTheme="minorHAnsi"/>
          <w:sz w:val="20"/>
          <w:szCs w:val="20"/>
          <w:lang w:val="en-GB"/>
        </w:rPr>
        <w:t xml:space="preserve">This work consists of the two series of experiments. The first part of experiments was set to </w:t>
      </w:r>
      <w:r>
        <w:rPr>
          <w:rFonts w:asciiTheme="minorHAnsi" w:hAnsiTheme="minorHAnsi"/>
          <w:sz w:val="20"/>
          <w:szCs w:val="20"/>
          <w:lang w:val="en-GB"/>
        </w:rPr>
        <w:t>explore</w:t>
      </w:r>
      <w:r w:rsidRPr="007F7891">
        <w:rPr>
          <w:rFonts w:asciiTheme="minorHAnsi" w:hAnsiTheme="minorHAnsi"/>
          <w:sz w:val="20"/>
          <w:szCs w:val="20"/>
          <w:lang w:val="en-GB"/>
        </w:rPr>
        <w:t xml:space="preserve"> the dependence of the onset temperature and the adiabatic temperature rise on the concentration of </w:t>
      </w:r>
      <w:r w:rsidR="00BF2D07">
        <w:rPr>
          <w:rFonts w:asciiTheme="minorHAnsi" w:hAnsiTheme="minorHAnsi"/>
          <w:sz w:val="20"/>
          <w:szCs w:val="20"/>
          <w:lang w:val="en-GB"/>
        </w:rPr>
        <w:t>toluene solutions of dibenzoyl peroxide</w:t>
      </w:r>
      <w:r w:rsidRPr="007F7891">
        <w:rPr>
          <w:rFonts w:asciiTheme="minorHAnsi" w:hAnsiTheme="minorHAnsi"/>
          <w:sz w:val="20"/>
          <w:szCs w:val="20"/>
          <w:lang w:val="en-GB"/>
        </w:rPr>
        <w:t>.</w:t>
      </w:r>
      <w:r w:rsidR="00BF2D07">
        <w:rPr>
          <w:rFonts w:asciiTheme="minorHAnsi" w:hAnsiTheme="minorHAnsi"/>
          <w:sz w:val="20"/>
          <w:szCs w:val="20"/>
          <w:lang w:val="en-GB"/>
        </w:rPr>
        <w:t xml:space="preserve"> </w:t>
      </w:r>
      <w:r w:rsidRPr="007F7891">
        <w:rPr>
          <w:rFonts w:asciiTheme="minorHAnsi" w:hAnsiTheme="minorHAnsi"/>
          <w:sz w:val="20"/>
          <w:szCs w:val="20"/>
          <w:lang w:val="en-GB"/>
        </w:rPr>
        <w:t xml:space="preserve">The second part of experiment is focused on the influence of bomb type on the measured results, because the </w:t>
      </w:r>
      <w:r>
        <w:rPr>
          <w:rFonts w:asciiTheme="minorHAnsi" w:hAnsiTheme="minorHAnsi"/>
          <w:sz w:val="20"/>
          <w:szCs w:val="20"/>
          <w:lang w:val="en-GB"/>
        </w:rPr>
        <w:t>thermal mass of the bomb (represented by Phi-factor) makes the difference between the experiment and fully adiabatic process.</w:t>
      </w:r>
    </w:p>
    <w:p w:rsidR="00566C8D" w:rsidRDefault="007D7431" w:rsidP="00566C8D">
      <w:pPr>
        <w:pStyle w:val="Nadpis2"/>
        <w:rPr>
          <w:rFonts w:asciiTheme="minorHAnsi" w:hAnsiTheme="minorHAnsi"/>
          <w:sz w:val="24"/>
          <w:szCs w:val="24"/>
        </w:rPr>
      </w:pPr>
      <w:r w:rsidRPr="007F7891">
        <w:rPr>
          <w:rFonts w:asciiTheme="minorHAnsi" w:hAnsiTheme="minorHAnsi"/>
          <w:sz w:val="24"/>
          <w:szCs w:val="24"/>
        </w:rPr>
        <w:t>Experimental part</w:t>
      </w:r>
    </w:p>
    <w:p w:rsidR="00E57515" w:rsidRDefault="00E57515" w:rsidP="006C36F4">
      <w:pPr>
        <w:ind w:firstLine="426"/>
        <w:jc w:val="both"/>
        <w:rPr>
          <w:rFonts w:asciiTheme="minorHAnsi" w:hAnsiTheme="minorHAnsi"/>
          <w:sz w:val="20"/>
          <w:szCs w:val="20"/>
          <w:lang w:val="en-GB"/>
        </w:rPr>
      </w:pPr>
      <w:r w:rsidRPr="00E57515">
        <w:rPr>
          <w:rFonts w:asciiTheme="minorHAnsi" w:hAnsiTheme="minorHAnsi"/>
          <w:sz w:val="20"/>
          <w:szCs w:val="20"/>
          <w:lang w:val="en-GB"/>
        </w:rPr>
        <w:t>The thermal decomposition of</w:t>
      </w:r>
      <w:r w:rsidR="007D6CD4">
        <w:rPr>
          <w:rFonts w:asciiTheme="minorHAnsi" w:hAnsiTheme="minorHAnsi"/>
          <w:sz w:val="20"/>
          <w:szCs w:val="20"/>
          <w:lang w:val="en-GB"/>
        </w:rPr>
        <w:t xml:space="preserve"> the</w:t>
      </w:r>
      <w:r w:rsidRPr="00E57515">
        <w:rPr>
          <w:rFonts w:asciiTheme="minorHAnsi" w:hAnsiTheme="minorHAnsi"/>
          <w:sz w:val="20"/>
          <w:szCs w:val="20"/>
          <w:lang w:val="en-GB"/>
        </w:rPr>
        <w:t xml:space="preserve"> samples was studied with</w:t>
      </w:r>
      <w:r w:rsidR="007D6CD4">
        <w:rPr>
          <w:rFonts w:asciiTheme="minorHAnsi" w:hAnsiTheme="minorHAnsi"/>
          <w:sz w:val="20"/>
          <w:szCs w:val="20"/>
          <w:lang w:val="en-GB"/>
        </w:rPr>
        <w:t xml:space="preserve"> the</w:t>
      </w:r>
      <w:r w:rsidRPr="00E57515">
        <w:rPr>
          <w:rFonts w:asciiTheme="minorHAnsi" w:hAnsiTheme="minorHAnsi"/>
          <w:sz w:val="20"/>
          <w:szCs w:val="20"/>
          <w:lang w:val="en-GB"/>
        </w:rPr>
        <w:t xml:space="preserve"> accelerating rate calorimetry. The calorimeter ARC-es, manufactured by THT, UK, was used. The experiments were </w:t>
      </w:r>
      <w:r w:rsidR="007D6CD4">
        <w:rPr>
          <w:rFonts w:asciiTheme="minorHAnsi" w:hAnsiTheme="minorHAnsi"/>
          <w:sz w:val="20"/>
          <w:szCs w:val="20"/>
          <w:lang w:val="en-GB"/>
        </w:rPr>
        <w:t>carried out in heat-wait-search </w:t>
      </w:r>
      <w:r w:rsidRPr="00E57515">
        <w:rPr>
          <w:rFonts w:asciiTheme="minorHAnsi" w:hAnsiTheme="minorHAnsi"/>
          <w:sz w:val="20"/>
          <w:szCs w:val="20"/>
          <w:lang w:val="en-GB"/>
        </w:rPr>
        <w:t xml:space="preserve">mode, with starting temperature </w:t>
      </w:r>
      <w:r>
        <w:rPr>
          <w:rFonts w:asciiTheme="minorHAnsi" w:hAnsiTheme="minorHAnsi"/>
          <w:sz w:val="20"/>
          <w:szCs w:val="20"/>
          <w:lang w:val="en-GB"/>
        </w:rPr>
        <w:t>5</w:t>
      </w:r>
      <w:r w:rsidRPr="00E57515">
        <w:rPr>
          <w:rFonts w:asciiTheme="minorHAnsi" w:hAnsiTheme="minorHAnsi"/>
          <w:sz w:val="20"/>
          <w:szCs w:val="20"/>
          <w:lang w:val="en-GB"/>
        </w:rPr>
        <w:t xml:space="preserve">0 °C. The temperature steps with height </w:t>
      </w:r>
      <w:r>
        <w:rPr>
          <w:rFonts w:asciiTheme="minorHAnsi" w:hAnsiTheme="minorHAnsi"/>
          <w:sz w:val="20"/>
          <w:szCs w:val="20"/>
          <w:lang w:val="en-GB"/>
        </w:rPr>
        <w:t>3</w:t>
      </w:r>
      <w:r w:rsidRPr="00E57515">
        <w:rPr>
          <w:rFonts w:asciiTheme="minorHAnsi" w:hAnsiTheme="minorHAnsi"/>
          <w:sz w:val="20"/>
          <w:szCs w:val="20"/>
          <w:lang w:val="en-GB"/>
        </w:rPr>
        <w:t xml:space="preserve"> °C and length 15 minutes were applied, until the exothermic decomposition was detected. The temperature rate 0.02 °C/min was used as a limit to detect an exotherm. </w:t>
      </w:r>
    </w:p>
    <w:p w:rsidR="00BF2474" w:rsidRDefault="00E57515" w:rsidP="006C36F4">
      <w:pPr>
        <w:ind w:firstLine="426"/>
        <w:jc w:val="both"/>
        <w:rPr>
          <w:rFonts w:asciiTheme="minorHAnsi" w:hAnsiTheme="minorHAnsi"/>
          <w:sz w:val="20"/>
          <w:szCs w:val="20"/>
          <w:lang w:val="en-GB"/>
        </w:rPr>
      </w:pPr>
      <w:r>
        <w:rPr>
          <w:rFonts w:asciiTheme="minorHAnsi" w:hAnsiTheme="minorHAnsi"/>
          <w:sz w:val="20"/>
          <w:szCs w:val="20"/>
          <w:lang w:val="en-GB"/>
        </w:rPr>
        <w:t xml:space="preserve">Titanium bombs </w:t>
      </w:r>
      <w:r w:rsidRPr="00E57515">
        <w:rPr>
          <w:rFonts w:asciiTheme="minorHAnsi" w:hAnsiTheme="minorHAnsi"/>
          <w:sz w:val="20"/>
          <w:szCs w:val="20"/>
          <w:lang w:val="en-GB"/>
        </w:rPr>
        <w:t>(</w:t>
      </w:r>
      <w:r>
        <w:rPr>
          <w:rFonts w:asciiTheme="minorHAnsi" w:hAnsiTheme="minorHAnsi"/>
          <w:sz w:val="20"/>
          <w:szCs w:val="20"/>
          <w:lang w:val="en-GB"/>
        </w:rPr>
        <w:t>8</w:t>
      </w:r>
      <w:r w:rsidRPr="00E57515">
        <w:rPr>
          <w:rFonts w:asciiTheme="minorHAnsi" w:hAnsiTheme="minorHAnsi"/>
          <w:sz w:val="20"/>
          <w:szCs w:val="20"/>
          <w:lang w:val="en-GB"/>
        </w:rPr>
        <w:t xml:space="preserve"> g</w:t>
      </w:r>
      <w:r w:rsidR="00585EAF">
        <w:rPr>
          <w:rFonts w:asciiTheme="minorHAnsi" w:hAnsiTheme="minorHAnsi"/>
          <w:sz w:val="20"/>
          <w:szCs w:val="20"/>
          <w:lang w:val="en-GB"/>
        </w:rPr>
        <w:t>, 0.</w:t>
      </w:r>
      <w:r>
        <w:rPr>
          <w:rFonts w:asciiTheme="minorHAnsi" w:hAnsiTheme="minorHAnsi"/>
          <w:sz w:val="20"/>
          <w:szCs w:val="20"/>
          <w:lang w:val="en-GB"/>
        </w:rPr>
        <w:t>54 J/g°C</w:t>
      </w:r>
      <w:r w:rsidRPr="00E57515">
        <w:rPr>
          <w:rFonts w:asciiTheme="minorHAnsi" w:hAnsiTheme="minorHAnsi"/>
          <w:sz w:val="20"/>
          <w:szCs w:val="20"/>
          <w:lang w:val="en-GB"/>
        </w:rPr>
        <w:t xml:space="preserve">) with the diameter 25.4 mm </w:t>
      </w:r>
      <w:r w:rsidR="00585EAF">
        <w:rPr>
          <w:rFonts w:asciiTheme="minorHAnsi" w:hAnsiTheme="minorHAnsi"/>
          <w:sz w:val="20"/>
          <w:szCs w:val="20"/>
          <w:lang w:val="en-GB"/>
        </w:rPr>
        <w:t xml:space="preserve">and the volume 9.8 ml </w:t>
      </w:r>
      <w:r w:rsidRPr="00E57515">
        <w:rPr>
          <w:rFonts w:asciiTheme="minorHAnsi" w:hAnsiTheme="minorHAnsi"/>
          <w:sz w:val="20"/>
          <w:szCs w:val="20"/>
          <w:lang w:val="en-GB"/>
        </w:rPr>
        <w:t>were used</w:t>
      </w:r>
      <w:r>
        <w:rPr>
          <w:rFonts w:asciiTheme="minorHAnsi" w:hAnsiTheme="minorHAnsi"/>
          <w:sz w:val="20"/>
          <w:szCs w:val="20"/>
          <w:lang w:val="en-GB"/>
        </w:rPr>
        <w:t xml:space="preserve"> for the first set of experiments. The </w:t>
      </w:r>
      <w:r w:rsidR="007D6CD4">
        <w:rPr>
          <w:rFonts w:asciiTheme="minorHAnsi" w:hAnsiTheme="minorHAnsi"/>
          <w:sz w:val="20"/>
          <w:szCs w:val="20"/>
          <w:lang w:val="en-GB"/>
        </w:rPr>
        <w:t>6</w:t>
      </w:r>
      <w:r>
        <w:rPr>
          <w:rFonts w:asciiTheme="minorHAnsi" w:hAnsiTheme="minorHAnsi"/>
          <w:sz w:val="20"/>
          <w:szCs w:val="20"/>
          <w:lang w:val="en-GB"/>
        </w:rPr>
        <w:t xml:space="preserve"> g of solution of dibenzoyl peroxide in tolu</w:t>
      </w:r>
      <w:r w:rsidR="00BF2474">
        <w:rPr>
          <w:rFonts w:asciiTheme="minorHAnsi" w:hAnsiTheme="minorHAnsi"/>
          <w:sz w:val="20"/>
          <w:szCs w:val="20"/>
          <w:lang w:val="en-GB"/>
        </w:rPr>
        <w:t>e</w:t>
      </w:r>
      <w:r>
        <w:rPr>
          <w:rFonts w:asciiTheme="minorHAnsi" w:hAnsiTheme="minorHAnsi"/>
          <w:sz w:val="20"/>
          <w:szCs w:val="20"/>
          <w:lang w:val="en-GB"/>
        </w:rPr>
        <w:t>ne</w:t>
      </w:r>
      <w:r w:rsidR="00BF2474">
        <w:rPr>
          <w:rFonts w:asciiTheme="minorHAnsi" w:hAnsiTheme="minorHAnsi"/>
          <w:sz w:val="20"/>
          <w:szCs w:val="20"/>
          <w:lang w:val="en-GB"/>
        </w:rPr>
        <w:t xml:space="preserve"> were used (concentrations 5, 10, 15 and 20 % w/w).</w:t>
      </w:r>
    </w:p>
    <w:p w:rsidR="00F52BFF" w:rsidRDefault="00BF2474" w:rsidP="00D00FBD">
      <w:pPr>
        <w:ind w:firstLine="426"/>
        <w:jc w:val="both"/>
        <w:rPr>
          <w:rFonts w:asciiTheme="minorHAnsi" w:hAnsiTheme="minorHAnsi"/>
          <w:sz w:val="20"/>
          <w:szCs w:val="20"/>
          <w:lang w:val="en-GB"/>
        </w:rPr>
      </w:pPr>
      <w:r>
        <w:rPr>
          <w:rFonts w:asciiTheme="minorHAnsi" w:hAnsiTheme="minorHAnsi"/>
          <w:sz w:val="20"/>
          <w:szCs w:val="20"/>
          <w:lang w:val="en-GB"/>
        </w:rPr>
        <w:t>The second serie</w:t>
      </w:r>
      <w:r w:rsidR="0089011E">
        <w:rPr>
          <w:rFonts w:asciiTheme="minorHAnsi" w:hAnsiTheme="minorHAnsi"/>
          <w:sz w:val="20"/>
          <w:szCs w:val="20"/>
          <w:lang w:val="en-GB"/>
        </w:rPr>
        <w:t>s</w:t>
      </w:r>
      <w:r>
        <w:rPr>
          <w:rFonts w:asciiTheme="minorHAnsi" w:hAnsiTheme="minorHAnsi"/>
          <w:sz w:val="20"/>
          <w:szCs w:val="20"/>
          <w:lang w:val="en-GB"/>
        </w:rPr>
        <w:t xml:space="preserve"> of experiment was carried out with PETN (pentrite, pentaerythritol tetranitrate), one of the basic high explosives. Therefore only small amount of sample (80 mg) was used in all cases. The measurements started at the temperature 100 °C, other parameters (height and length of the step, temperature sensitivity for the exotherm detection) were the same as in the previous case.</w:t>
      </w:r>
      <w:r w:rsidR="00585EAF">
        <w:rPr>
          <w:rFonts w:asciiTheme="minorHAnsi" w:hAnsiTheme="minorHAnsi"/>
          <w:sz w:val="20"/>
          <w:szCs w:val="20"/>
          <w:lang w:val="en-GB"/>
        </w:rPr>
        <w:t xml:space="preserve"> The standard titanium, stainless steel and hastelloy bombs were used. A special low mass titanium tube bomb was also used. The parameters of this serie</w:t>
      </w:r>
      <w:r w:rsidR="0089011E">
        <w:rPr>
          <w:rFonts w:asciiTheme="minorHAnsi" w:hAnsiTheme="minorHAnsi"/>
          <w:sz w:val="20"/>
          <w:szCs w:val="20"/>
          <w:lang w:val="en-GB"/>
        </w:rPr>
        <w:t>s</w:t>
      </w:r>
      <w:r w:rsidR="00585EAF">
        <w:rPr>
          <w:rFonts w:asciiTheme="minorHAnsi" w:hAnsiTheme="minorHAnsi"/>
          <w:sz w:val="20"/>
          <w:szCs w:val="20"/>
          <w:lang w:val="en-GB"/>
        </w:rPr>
        <w:t xml:space="preserve"> of measurements are stated in table 1.</w:t>
      </w:r>
    </w:p>
    <w:p w:rsidR="00D00FBD" w:rsidRDefault="00D00FBD" w:rsidP="00D00FBD">
      <w:pPr>
        <w:ind w:firstLine="426"/>
        <w:jc w:val="both"/>
        <w:rPr>
          <w:rFonts w:asciiTheme="minorHAnsi" w:hAnsiTheme="minorHAnsi"/>
          <w:sz w:val="20"/>
          <w:szCs w:val="20"/>
          <w:lang w:val="en-GB"/>
        </w:rPr>
      </w:pPr>
    </w:p>
    <w:p w:rsidR="00010F90" w:rsidRDefault="007D6CD4" w:rsidP="007D6CD4">
      <w:pPr>
        <w:pStyle w:val="Titulek"/>
        <w:keepNext/>
        <w:spacing w:after="0"/>
        <w:rPr>
          <w:rFonts w:asciiTheme="minorHAnsi" w:hAnsiTheme="minorHAnsi"/>
          <w:b w:val="0"/>
          <w:color w:val="auto"/>
          <w:sz w:val="20"/>
          <w:szCs w:val="20"/>
          <w:lang w:val="en-GB"/>
        </w:rPr>
      </w:pPr>
      <w:proofErr w:type="gramStart"/>
      <w:r w:rsidRPr="00010F90">
        <w:rPr>
          <w:rFonts w:asciiTheme="minorHAnsi" w:hAnsiTheme="minorHAnsi"/>
          <w:b w:val="0"/>
          <w:color w:val="auto"/>
          <w:sz w:val="20"/>
          <w:szCs w:val="20"/>
          <w:lang w:val="en-GB"/>
        </w:rPr>
        <w:t xml:space="preserve">Table </w:t>
      </w:r>
      <w:r w:rsidRPr="00010F90">
        <w:rPr>
          <w:rFonts w:asciiTheme="minorHAnsi" w:hAnsiTheme="minorHAnsi"/>
          <w:b w:val="0"/>
          <w:color w:val="auto"/>
          <w:sz w:val="20"/>
          <w:szCs w:val="20"/>
          <w:lang w:val="en-GB"/>
        </w:rPr>
        <w:fldChar w:fldCharType="begin"/>
      </w:r>
      <w:r w:rsidRPr="00010F90">
        <w:rPr>
          <w:rFonts w:asciiTheme="minorHAnsi" w:hAnsiTheme="minorHAnsi"/>
          <w:b w:val="0"/>
          <w:color w:val="auto"/>
          <w:sz w:val="20"/>
          <w:szCs w:val="20"/>
          <w:lang w:val="en-GB"/>
        </w:rPr>
        <w:instrText xml:space="preserve"> SEQ Table \* ARABIC </w:instrText>
      </w:r>
      <w:r w:rsidRPr="00010F90">
        <w:rPr>
          <w:rFonts w:asciiTheme="minorHAnsi" w:hAnsiTheme="minorHAnsi"/>
          <w:b w:val="0"/>
          <w:color w:val="auto"/>
          <w:sz w:val="20"/>
          <w:szCs w:val="20"/>
          <w:lang w:val="en-GB"/>
        </w:rPr>
        <w:fldChar w:fldCharType="separate"/>
      </w:r>
      <w:r w:rsidRPr="00010F90">
        <w:rPr>
          <w:rFonts w:asciiTheme="minorHAnsi" w:hAnsiTheme="minorHAnsi"/>
          <w:b w:val="0"/>
          <w:color w:val="auto"/>
          <w:sz w:val="20"/>
          <w:szCs w:val="20"/>
          <w:lang w:val="en-GB"/>
        </w:rPr>
        <w:t>1</w:t>
      </w:r>
      <w:r w:rsidRPr="00010F90">
        <w:rPr>
          <w:rFonts w:asciiTheme="minorHAnsi" w:hAnsiTheme="minorHAnsi"/>
          <w:b w:val="0"/>
          <w:color w:val="auto"/>
          <w:sz w:val="20"/>
          <w:szCs w:val="20"/>
          <w:lang w:val="en-GB"/>
        </w:rPr>
        <w:fldChar w:fldCharType="end"/>
      </w:r>
      <w:r w:rsidRPr="00010F90">
        <w:rPr>
          <w:rFonts w:asciiTheme="minorHAnsi" w:hAnsiTheme="minorHAnsi"/>
          <w:b w:val="0"/>
          <w:color w:val="auto"/>
          <w:sz w:val="20"/>
          <w:szCs w:val="20"/>
          <w:lang w:val="en-GB"/>
        </w:rPr>
        <w:t>.</w:t>
      </w:r>
      <w:proofErr w:type="gramEnd"/>
    </w:p>
    <w:p w:rsidR="007D6CD4" w:rsidRPr="00010F90" w:rsidRDefault="00010F90" w:rsidP="007D6CD4">
      <w:pPr>
        <w:pStyle w:val="Titulek"/>
        <w:keepNext/>
        <w:spacing w:after="0"/>
        <w:rPr>
          <w:rFonts w:asciiTheme="minorHAnsi" w:hAnsiTheme="minorHAnsi"/>
          <w:b w:val="0"/>
          <w:color w:val="auto"/>
          <w:sz w:val="20"/>
          <w:szCs w:val="20"/>
          <w:lang w:val="en-GB"/>
        </w:rPr>
      </w:pPr>
      <w:r w:rsidRPr="00010F90">
        <w:rPr>
          <w:rFonts w:asciiTheme="minorHAnsi" w:hAnsiTheme="minorHAnsi"/>
          <w:b w:val="0"/>
          <w:color w:val="auto"/>
          <w:sz w:val="20"/>
          <w:szCs w:val="20"/>
          <w:lang w:val="en-GB"/>
        </w:rPr>
        <w:t>Parameters of bombs used for PETN measurements.</w:t>
      </w:r>
    </w:p>
    <w:tbl>
      <w:tblPr>
        <w:tblW w:w="0" w:type="auto"/>
        <w:tblLayout w:type="fixed"/>
        <w:tblLook w:val="04A0" w:firstRow="1" w:lastRow="0" w:firstColumn="1" w:lastColumn="0" w:noHBand="0" w:noVBand="1"/>
      </w:tblPr>
      <w:tblGrid>
        <w:gridCol w:w="238"/>
        <w:gridCol w:w="1282"/>
        <w:gridCol w:w="999"/>
        <w:gridCol w:w="1107"/>
        <w:gridCol w:w="893"/>
        <w:gridCol w:w="828"/>
      </w:tblGrid>
      <w:tr w:rsidR="00D00FBD" w:rsidRPr="00486080" w:rsidTr="00D00FBD">
        <w:trPr>
          <w:trHeight w:val="314"/>
        </w:trPr>
        <w:tc>
          <w:tcPr>
            <w:tcW w:w="238" w:type="dxa"/>
            <w:tcBorders>
              <w:top w:val="nil"/>
              <w:left w:val="nil"/>
              <w:bottom w:val="nil"/>
              <w:right w:val="nil"/>
            </w:tcBorders>
            <w:shd w:val="clear" w:color="auto" w:fill="auto"/>
            <w:noWrap/>
            <w:vAlign w:val="bottom"/>
          </w:tcPr>
          <w:p w:rsidR="00D00FBD" w:rsidRPr="00486080" w:rsidRDefault="00D00FBD" w:rsidP="00486080">
            <w:pPr>
              <w:ind w:firstLine="426"/>
              <w:jc w:val="center"/>
              <w:rPr>
                <w:rFonts w:asciiTheme="minorHAnsi" w:hAnsiTheme="minorHAnsi"/>
                <w:sz w:val="20"/>
                <w:szCs w:val="20"/>
                <w:lang w:val="en-GB"/>
              </w:rPr>
            </w:pPr>
          </w:p>
        </w:tc>
        <w:tc>
          <w:tcPr>
            <w:tcW w:w="1282" w:type="dxa"/>
            <w:tcBorders>
              <w:top w:val="single" w:sz="4" w:space="0" w:color="auto"/>
              <w:bottom w:val="single" w:sz="4" w:space="0" w:color="auto"/>
            </w:tcBorders>
            <w:vAlign w:val="bottom"/>
          </w:tcPr>
          <w:p w:rsidR="00D00FBD" w:rsidRPr="00486080" w:rsidRDefault="00D00FBD" w:rsidP="00D00FBD">
            <w:pPr>
              <w:rPr>
                <w:rFonts w:ascii="Calibri" w:hAnsi="Calibri"/>
                <w:color w:val="000000"/>
                <w:sz w:val="20"/>
                <w:szCs w:val="20"/>
                <w:lang w:val="en-GB" w:eastAsia="en-US"/>
              </w:rPr>
            </w:pPr>
            <w:r w:rsidRPr="00486080">
              <w:rPr>
                <w:rFonts w:ascii="Calibri" w:hAnsi="Calibri"/>
                <w:color w:val="000000"/>
                <w:sz w:val="20"/>
                <w:szCs w:val="20"/>
                <w:lang w:val="en-GB" w:eastAsia="en-US"/>
              </w:rPr>
              <w:t>Bomb type</w:t>
            </w:r>
          </w:p>
        </w:tc>
        <w:tc>
          <w:tcPr>
            <w:tcW w:w="999" w:type="dxa"/>
            <w:tcBorders>
              <w:top w:val="single" w:sz="4" w:space="0" w:color="auto"/>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sidRPr="00486080">
              <w:rPr>
                <w:rFonts w:ascii="Calibri" w:hAnsi="Calibri"/>
                <w:color w:val="000000"/>
                <w:sz w:val="20"/>
                <w:szCs w:val="20"/>
                <w:lang w:val="en-GB" w:eastAsia="en-US"/>
              </w:rPr>
              <w:t>SS-LNQ</w:t>
            </w:r>
          </w:p>
        </w:tc>
        <w:tc>
          <w:tcPr>
            <w:tcW w:w="1107" w:type="dxa"/>
            <w:tcBorders>
              <w:top w:val="single" w:sz="4" w:space="0" w:color="auto"/>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sidRPr="00486080">
              <w:rPr>
                <w:rFonts w:ascii="Calibri" w:hAnsi="Calibri"/>
                <w:color w:val="000000"/>
                <w:sz w:val="20"/>
                <w:szCs w:val="20"/>
                <w:lang w:val="en-GB" w:eastAsia="en-US"/>
              </w:rPr>
              <w:t>HC-MBQ</w:t>
            </w:r>
          </w:p>
        </w:tc>
        <w:tc>
          <w:tcPr>
            <w:tcW w:w="893" w:type="dxa"/>
            <w:tcBorders>
              <w:top w:val="single" w:sz="4" w:space="0" w:color="auto"/>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sidRPr="00486080">
              <w:rPr>
                <w:rFonts w:ascii="Calibri" w:hAnsi="Calibri"/>
                <w:color w:val="000000"/>
                <w:sz w:val="20"/>
                <w:szCs w:val="20"/>
                <w:lang w:val="en-GB" w:eastAsia="en-US"/>
              </w:rPr>
              <w:t>Ti-LCQ</w:t>
            </w:r>
          </w:p>
        </w:tc>
        <w:tc>
          <w:tcPr>
            <w:tcW w:w="828" w:type="dxa"/>
            <w:tcBorders>
              <w:top w:val="single" w:sz="4" w:space="0" w:color="auto"/>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sidRPr="00486080">
              <w:rPr>
                <w:rFonts w:ascii="Calibri" w:hAnsi="Calibri"/>
                <w:color w:val="000000"/>
                <w:sz w:val="20"/>
                <w:szCs w:val="20"/>
                <w:lang w:val="en-GB" w:eastAsia="en-US"/>
              </w:rPr>
              <w:t>TiT</w:t>
            </w:r>
          </w:p>
        </w:tc>
      </w:tr>
      <w:tr w:rsidR="00D00FBD" w:rsidRPr="00486080" w:rsidTr="00D00FBD">
        <w:trPr>
          <w:trHeight w:val="314"/>
        </w:trPr>
        <w:tc>
          <w:tcPr>
            <w:tcW w:w="238" w:type="dxa"/>
            <w:tcBorders>
              <w:top w:val="nil"/>
              <w:left w:val="nil"/>
              <w:bottom w:val="nil"/>
              <w:right w:val="nil"/>
            </w:tcBorders>
            <w:shd w:val="clear" w:color="auto" w:fill="auto"/>
            <w:noWrap/>
            <w:vAlign w:val="bottom"/>
          </w:tcPr>
          <w:p w:rsidR="00D00FBD" w:rsidRPr="00486080" w:rsidRDefault="00D00FBD" w:rsidP="00486080">
            <w:pPr>
              <w:ind w:firstLine="426"/>
              <w:jc w:val="center"/>
              <w:rPr>
                <w:rFonts w:asciiTheme="minorHAnsi" w:hAnsiTheme="minorHAnsi"/>
                <w:sz w:val="20"/>
                <w:szCs w:val="20"/>
                <w:lang w:val="en-GB"/>
              </w:rPr>
            </w:pPr>
          </w:p>
        </w:tc>
        <w:tc>
          <w:tcPr>
            <w:tcW w:w="1282" w:type="dxa"/>
            <w:tcBorders>
              <w:top w:val="single" w:sz="4" w:space="0" w:color="auto"/>
            </w:tcBorders>
            <w:vAlign w:val="bottom"/>
          </w:tcPr>
          <w:p w:rsidR="00D00FBD" w:rsidRPr="00486080" w:rsidRDefault="00D00FBD" w:rsidP="00D00FBD">
            <w:pPr>
              <w:rPr>
                <w:rFonts w:ascii="Calibri" w:hAnsi="Calibri"/>
                <w:color w:val="000000"/>
                <w:sz w:val="20"/>
                <w:szCs w:val="20"/>
                <w:lang w:val="en-GB" w:eastAsia="en-US"/>
              </w:rPr>
            </w:pPr>
            <w:r>
              <w:rPr>
                <w:rFonts w:ascii="Calibri" w:hAnsi="Calibri"/>
                <w:color w:val="000000"/>
                <w:sz w:val="20"/>
                <w:szCs w:val="20"/>
                <w:lang w:val="en-GB" w:eastAsia="en-US"/>
              </w:rPr>
              <w:t>m [g</w:t>
            </w:r>
            <w:r w:rsidRPr="007F7891">
              <w:rPr>
                <w:rFonts w:ascii="Calibri" w:hAnsi="Calibri"/>
                <w:color w:val="000000"/>
                <w:sz w:val="20"/>
                <w:szCs w:val="20"/>
                <w:lang w:val="en-GB" w:eastAsia="en-US"/>
              </w:rPr>
              <w:t>]</w:t>
            </w:r>
          </w:p>
        </w:tc>
        <w:tc>
          <w:tcPr>
            <w:tcW w:w="999" w:type="dxa"/>
            <w:tcBorders>
              <w:top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11,</w:t>
            </w:r>
            <w:r w:rsidRPr="00486080">
              <w:rPr>
                <w:rFonts w:ascii="Calibri" w:hAnsi="Calibri"/>
                <w:color w:val="000000"/>
                <w:sz w:val="20"/>
                <w:szCs w:val="20"/>
                <w:lang w:val="en-GB" w:eastAsia="en-US"/>
              </w:rPr>
              <w:t>1</w:t>
            </w:r>
          </w:p>
        </w:tc>
        <w:tc>
          <w:tcPr>
            <w:tcW w:w="1107" w:type="dxa"/>
            <w:tcBorders>
              <w:top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14,</w:t>
            </w:r>
            <w:r w:rsidRPr="00486080">
              <w:rPr>
                <w:rFonts w:ascii="Calibri" w:hAnsi="Calibri"/>
                <w:color w:val="000000"/>
                <w:sz w:val="20"/>
                <w:szCs w:val="20"/>
                <w:lang w:val="en-GB" w:eastAsia="en-US"/>
              </w:rPr>
              <w:t>2</w:t>
            </w:r>
          </w:p>
        </w:tc>
        <w:tc>
          <w:tcPr>
            <w:tcW w:w="893" w:type="dxa"/>
            <w:tcBorders>
              <w:top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6,</w:t>
            </w:r>
            <w:r w:rsidRPr="00486080">
              <w:rPr>
                <w:rFonts w:ascii="Calibri" w:hAnsi="Calibri"/>
                <w:color w:val="000000"/>
                <w:sz w:val="20"/>
                <w:szCs w:val="20"/>
                <w:lang w:val="en-GB" w:eastAsia="en-US"/>
              </w:rPr>
              <w:t>2</w:t>
            </w:r>
          </w:p>
        </w:tc>
        <w:tc>
          <w:tcPr>
            <w:tcW w:w="828" w:type="dxa"/>
            <w:tcBorders>
              <w:top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3,</w:t>
            </w:r>
            <w:r w:rsidRPr="00486080">
              <w:rPr>
                <w:rFonts w:ascii="Calibri" w:hAnsi="Calibri"/>
                <w:color w:val="000000"/>
                <w:sz w:val="20"/>
                <w:szCs w:val="20"/>
                <w:lang w:val="en-GB" w:eastAsia="en-US"/>
              </w:rPr>
              <w:t>5</w:t>
            </w:r>
          </w:p>
        </w:tc>
      </w:tr>
      <w:tr w:rsidR="00D00FBD" w:rsidRPr="00486080" w:rsidTr="00D00FBD">
        <w:trPr>
          <w:trHeight w:val="314"/>
        </w:trPr>
        <w:tc>
          <w:tcPr>
            <w:tcW w:w="238" w:type="dxa"/>
            <w:tcBorders>
              <w:top w:val="nil"/>
              <w:left w:val="nil"/>
              <w:bottom w:val="nil"/>
              <w:right w:val="nil"/>
            </w:tcBorders>
            <w:shd w:val="clear" w:color="auto" w:fill="auto"/>
            <w:noWrap/>
            <w:vAlign w:val="bottom"/>
          </w:tcPr>
          <w:p w:rsidR="00D00FBD" w:rsidRPr="00486080" w:rsidRDefault="00D00FBD" w:rsidP="00486080">
            <w:pPr>
              <w:ind w:firstLine="426"/>
              <w:jc w:val="center"/>
              <w:rPr>
                <w:rFonts w:asciiTheme="minorHAnsi" w:hAnsiTheme="minorHAnsi"/>
                <w:sz w:val="20"/>
                <w:szCs w:val="20"/>
                <w:lang w:val="en-GB"/>
              </w:rPr>
            </w:pPr>
          </w:p>
        </w:tc>
        <w:tc>
          <w:tcPr>
            <w:tcW w:w="1282" w:type="dxa"/>
            <w:vAlign w:val="bottom"/>
          </w:tcPr>
          <w:p w:rsidR="00D00FBD" w:rsidRPr="00486080" w:rsidRDefault="00D00FBD" w:rsidP="00D00FBD">
            <w:pPr>
              <w:rPr>
                <w:rFonts w:ascii="Calibri" w:hAnsi="Calibri"/>
                <w:color w:val="000000"/>
                <w:sz w:val="20"/>
                <w:szCs w:val="20"/>
                <w:lang w:val="en-GB" w:eastAsia="en-US"/>
              </w:rPr>
            </w:pPr>
            <w:r w:rsidRPr="00486080">
              <w:rPr>
                <w:rFonts w:ascii="Calibri" w:hAnsi="Calibri"/>
                <w:color w:val="000000"/>
                <w:sz w:val="20"/>
                <w:szCs w:val="20"/>
                <w:lang w:val="en-GB" w:eastAsia="en-US"/>
              </w:rPr>
              <w:t>c</w:t>
            </w:r>
            <w:r w:rsidRPr="00486080">
              <w:rPr>
                <w:rFonts w:ascii="Calibri" w:hAnsi="Calibri"/>
                <w:color w:val="000000"/>
                <w:sz w:val="20"/>
                <w:szCs w:val="20"/>
                <w:vertAlign w:val="subscript"/>
                <w:lang w:val="en-GB" w:eastAsia="en-US"/>
              </w:rPr>
              <w:t>p</w:t>
            </w:r>
            <w:r>
              <w:rPr>
                <w:rFonts w:ascii="Calibri" w:hAnsi="Calibri"/>
                <w:color w:val="000000"/>
                <w:sz w:val="20"/>
                <w:szCs w:val="20"/>
                <w:lang w:val="en-GB" w:eastAsia="en-US"/>
              </w:rPr>
              <w:t xml:space="preserve"> </w:t>
            </w:r>
            <w:r w:rsidRPr="007F7891">
              <w:rPr>
                <w:rFonts w:ascii="Calibri" w:hAnsi="Calibri"/>
                <w:color w:val="000000"/>
                <w:sz w:val="20"/>
                <w:szCs w:val="20"/>
                <w:lang w:val="en-GB" w:eastAsia="en-US"/>
              </w:rPr>
              <w:t>[</w:t>
            </w:r>
            <w:r w:rsidR="007D6CD4">
              <w:rPr>
                <w:rFonts w:asciiTheme="minorHAnsi" w:hAnsiTheme="minorHAnsi"/>
                <w:sz w:val="20"/>
                <w:szCs w:val="20"/>
                <w:lang w:val="en-GB"/>
              </w:rPr>
              <w:t>J/g°C</w:t>
            </w:r>
            <w:r w:rsidRPr="007F7891">
              <w:rPr>
                <w:rFonts w:ascii="Calibri" w:hAnsi="Calibri"/>
                <w:color w:val="000000"/>
                <w:sz w:val="20"/>
                <w:szCs w:val="20"/>
                <w:lang w:val="en-GB" w:eastAsia="en-US"/>
              </w:rPr>
              <w:t>]</w:t>
            </w:r>
          </w:p>
        </w:tc>
        <w:tc>
          <w:tcPr>
            <w:tcW w:w="999" w:type="dxa"/>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0,</w:t>
            </w:r>
            <w:r w:rsidRPr="00486080">
              <w:rPr>
                <w:rFonts w:ascii="Calibri" w:hAnsi="Calibri"/>
                <w:color w:val="000000"/>
                <w:sz w:val="20"/>
                <w:szCs w:val="20"/>
                <w:lang w:val="en-GB" w:eastAsia="en-US"/>
              </w:rPr>
              <w:t>42</w:t>
            </w:r>
          </w:p>
        </w:tc>
        <w:tc>
          <w:tcPr>
            <w:tcW w:w="1107" w:type="dxa"/>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0,</w:t>
            </w:r>
            <w:r w:rsidRPr="00486080">
              <w:rPr>
                <w:rFonts w:ascii="Calibri" w:hAnsi="Calibri"/>
                <w:color w:val="000000"/>
                <w:sz w:val="20"/>
                <w:szCs w:val="20"/>
                <w:lang w:val="en-GB" w:eastAsia="en-US"/>
              </w:rPr>
              <w:t>42</w:t>
            </w:r>
          </w:p>
        </w:tc>
        <w:tc>
          <w:tcPr>
            <w:tcW w:w="893" w:type="dxa"/>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0,</w:t>
            </w:r>
            <w:r w:rsidRPr="00486080">
              <w:rPr>
                <w:rFonts w:ascii="Calibri" w:hAnsi="Calibri"/>
                <w:color w:val="000000"/>
                <w:sz w:val="20"/>
                <w:szCs w:val="20"/>
                <w:lang w:val="en-GB" w:eastAsia="en-US"/>
              </w:rPr>
              <w:t>54</w:t>
            </w:r>
          </w:p>
        </w:tc>
        <w:tc>
          <w:tcPr>
            <w:tcW w:w="828" w:type="dxa"/>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0,</w:t>
            </w:r>
            <w:r w:rsidRPr="00486080">
              <w:rPr>
                <w:rFonts w:ascii="Calibri" w:hAnsi="Calibri"/>
                <w:color w:val="000000"/>
                <w:sz w:val="20"/>
                <w:szCs w:val="20"/>
                <w:lang w:val="en-GB" w:eastAsia="en-US"/>
              </w:rPr>
              <w:t>54</w:t>
            </w:r>
          </w:p>
        </w:tc>
      </w:tr>
      <w:tr w:rsidR="00D00FBD" w:rsidRPr="00486080" w:rsidTr="00D00FBD">
        <w:trPr>
          <w:trHeight w:val="314"/>
        </w:trPr>
        <w:tc>
          <w:tcPr>
            <w:tcW w:w="238" w:type="dxa"/>
            <w:tcBorders>
              <w:top w:val="nil"/>
              <w:left w:val="nil"/>
              <w:bottom w:val="nil"/>
              <w:right w:val="nil"/>
            </w:tcBorders>
            <w:shd w:val="clear" w:color="auto" w:fill="auto"/>
            <w:noWrap/>
            <w:vAlign w:val="bottom"/>
          </w:tcPr>
          <w:p w:rsidR="00D00FBD" w:rsidRPr="00486080" w:rsidRDefault="00D00FBD" w:rsidP="00486080">
            <w:pPr>
              <w:ind w:firstLine="426"/>
              <w:jc w:val="center"/>
              <w:rPr>
                <w:rFonts w:asciiTheme="minorHAnsi" w:hAnsiTheme="minorHAnsi"/>
                <w:sz w:val="20"/>
                <w:szCs w:val="20"/>
                <w:lang w:val="en-GB"/>
              </w:rPr>
            </w:pPr>
          </w:p>
        </w:tc>
        <w:tc>
          <w:tcPr>
            <w:tcW w:w="1282" w:type="dxa"/>
            <w:tcBorders>
              <w:bottom w:val="single" w:sz="4" w:space="0" w:color="auto"/>
            </w:tcBorders>
            <w:vAlign w:val="bottom"/>
          </w:tcPr>
          <w:p w:rsidR="00D00FBD" w:rsidRPr="00486080" w:rsidRDefault="00D00FBD" w:rsidP="00D00FBD">
            <w:pPr>
              <w:rPr>
                <w:rFonts w:ascii="Calibri" w:hAnsi="Calibri"/>
                <w:color w:val="000000"/>
                <w:sz w:val="20"/>
                <w:szCs w:val="20"/>
                <w:lang w:val="en-GB" w:eastAsia="en-US"/>
              </w:rPr>
            </w:pPr>
            <w:r w:rsidRPr="007F7891">
              <w:rPr>
                <w:rFonts w:ascii="Calibri" w:hAnsi="Calibri"/>
                <w:color w:val="000000"/>
                <w:sz w:val="20"/>
                <w:szCs w:val="20"/>
                <w:lang w:val="en-GB" w:eastAsia="en-US"/>
              </w:rPr>
              <w:t>Φ [-]</w:t>
            </w:r>
          </w:p>
        </w:tc>
        <w:tc>
          <w:tcPr>
            <w:tcW w:w="999" w:type="dxa"/>
            <w:tcBorders>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59,</w:t>
            </w:r>
            <w:r w:rsidRPr="00486080">
              <w:rPr>
                <w:rFonts w:ascii="Calibri" w:hAnsi="Calibri"/>
                <w:color w:val="000000"/>
                <w:sz w:val="20"/>
                <w:szCs w:val="20"/>
                <w:lang w:val="en-GB" w:eastAsia="en-US"/>
              </w:rPr>
              <w:t>27</w:t>
            </w:r>
          </w:p>
        </w:tc>
        <w:tc>
          <w:tcPr>
            <w:tcW w:w="1107" w:type="dxa"/>
            <w:tcBorders>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75,</w:t>
            </w:r>
            <w:r w:rsidRPr="00486080">
              <w:rPr>
                <w:rFonts w:ascii="Calibri" w:hAnsi="Calibri"/>
                <w:color w:val="000000"/>
                <w:sz w:val="20"/>
                <w:szCs w:val="20"/>
                <w:lang w:val="en-GB" w:eastAsia="en-US"/>
              </w:rPr>
              <w:t>55</w:t>
            </w:r>
          </w:p>
        </w:tc>
        <w:tc>
          <w:tcPr>
            <w:tcW w:w="893" w:type="dxa"/>
            <w:tcBorders>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42,</w:t>
            </w:r>
            <w:r w:rsidRPr="00486080">
              <w:rPr>
                <w:rFonts w:ascii="Calibri" w:hAnsi="Calibri"/>
                <w:color w:val="000000"/>
                <w:sz w:val="20"/>
                <w:szCs w:val="20"/>
                <w:lang w:val="en-GB" w:eastAsia="en-US"/>
              </w:rPr>
              <w:t>85</w:t>
            </w:r>
          </w:p>
        </w:tc>
        <w:tc>
          <w:tcPr>
            <w:tcW w:w="828" w:type="dxa"/>
            <w:tcBorders>
              <w:bottom w:val="single" w:sz="4" w:space="0" w:color="auto"/>
            </w:tcBorders>
            <w:vAlign w:val="bottom"/>
          </w:tcPr>
          <w:p w:rsidR="00D00FBD" w:rsidRPr="00486080" w:rsidRDefault="00D00FBD" w:rsidP="00D00FBD">
            <w:pPr>
              <w:jc w:val="center"/>
              <w:rPr>
                <w:rFonts w:ascii="Calibri" w:hAnsi="Calibri"/>
                <w:color w:val="000000"/>
                <w:sz w:val="20"/>
                <w:szCs w:val="20"/>
                <w:lang w:val="en-GB" w:eastAsia="en-US"/>
              </w:rPr>
            </w:pPr>
            <w:r>
              <w:rPr>
                <w:rFonts w:ascii="Calibri" w:hAnsi="Calibri"/>
                <w:color w:val="000000"/>
                <w:sz w:val="20"/>
                <w:szCs w:val="20"/>
                <w:lang w:val="en-GB" w:eastAsia="en-US"/>
              </w:rPr>
              <w:t>24,</w:t>
            </w:r>
            <w:r w:rsidRPr="00486080">
              <w:rPr>
                <w:rFonts w:ascii="Calibri" w:hAnsi="Calibri"/>
                <w:color w:val="000000"/>
                <w:sz w:val="20"/>
                <w:szCs w:val="20"/>
                <w:lang w:val="en-GB" w:eastAsia="en-US"/>
              </w:rPr>
              <w:t>63</w:t>
            </w:r>
          </w:p>
        </w:tc>
      </w:tr>
    </w:tbl>
    <w:p w:rsidR="00DE083C" w:rsidRDefault="00DE083C" w:rsidP="00E57515">
      <w:pPr>
        <w:jc w:val="both"/>
        <w:rPr>
          <w:rFonts w:asciiTheme="minorHAnsi" w:hAnsiTheme="minorHAnsi"/>
          <w:sz w:val="20"/>
          <w:szCs w:val="20"/>
          <w:lang w:val="en-GB"/>
        </w:rPr>
      </w:pPr>
    </w:p>
    <w:p w:rsidR="00585EAF" w:rsidRPr="007F7891" w:rsidRDefault="00585EAF" w:rsidP="00585EAF">
      <w:pPr>
        <w:pStyle w:val="Nadpis2"/>
        <w:rPr>
          <w:rFonts w:asciiTheme="minorHAnsi" w:hAnsiTheme="minorHAnsi"/>
          <w:sz w:val="24"/>
          <w:szCs w:val="24"/>
        </w:rPr>
      </w:pPr>
      <w:r>
        <w:rPr>
          <w:rFonts w:asciiTheme="minorHAnsi" w:hAnsiTheme="minorHAnsi"/>
          <w:sz w:val="24"/>
          <w:szCs w:val="24"/>
        </w:rPr>
        <w:t xml:space="preserve">Results and </w:t>
      </w:r>
      <w:r w:rsidRPr="007F7891">
        <w:rPr>
          <w:rFonts w:asciiTheme="minorHAnsi" w:hAnsiTheme="minorHAnsi"/>
          <w:sz w:val="24"/>
          <w:szCs w:val="24"/>
        </w:rPr>
        <w:t>Discussion</w:t>
      </w:r>
    </w:p>
    <w:p w:rsidR="00585EAF" w:rsidRPr="007F7891" w:rsidRDefault="00585EAF" w:rsidP="006C36F4">
      <w:pPr>
        <w:ind w:firstLine="426"/>
        <w:jc w:val="both"/>
        <w:rPr>
          <w:rFonts w:asciiTheme="minorHAnsi" w:hAnsiTheme="minorHAnsi"/>
          <w:sz w:val="20"/>
          <w:szCs w:val="20"/>
          <w:lang w:val="en-GB"/>
        </w:rPr>
      </w:pPr>
      <w:r w:rsidRPr="007F7891">
        <w:rPr>
          <w:rFonts w:asciiTheme="minorHAnsi" w:hAnsiTheme="minorHAnsi"/>
          <w:sz w:val="20"/>
          <w:szCs w:val="20"/>
          <w:lang w:val="en-GB"/>
        </w:rPr>
        <w:t xml:space="preserve">The recorded temperature and pressure rise of all four samples were put into the two separate graphs depicting temperature and pressure changes. The time axis does not correspond with the real time of measurement, but the </w:t>
      </w:r>
      <w:r>
        <w:rPr>
          <w:rFonts w:asciiTheme="minorHAnsi" w:hAnsiTheme="minorHAnsi"/>
          <w:sz w:val="20"/>
          <w:szCs w:val="20"/>
          <w:lang w:val="en-GB"/>
        </w:rPr>
        <w:t xml:space="preserve">position </w:t>
      </w:r>
      <w:r w:rsidRPr="007F7891">
        <w:rPr>
          <w:rFonts w:asciiTheme="minorHAnsi" w:hAnsiTheme="minorHAnsi"/>
          <w:sz w:val="20"/>
          <w:szCs w:val="20"/>
          <w:lang w:val="en-GB"/>
        </w:rPr>
        <w:t xml:space="preserve">of the curves was shifted in </w:t>
      </w:r>
      <w:r>
        <w:rPr>
          <w:rFonts w:asciiTheme="minorHAnsi" w:hAnsiTheme="minorHAnsi"/>
          <w:sz w:val="20"/>
          <w:szCs w:val="20"/>
          <w:lang w:val="en-GB"/>
        </w:rPr>
        <w:t xml:space="preserve">time </w:t>
      </w:r>
      <w:r w:rsidRPr="007F7891">
        <w:rPr>
          <w:rFonts w:asciiTheme="minorHAnsi" w:hAnsiTheme="minorHAnsi"/>
          <w:sz w:val="20"/>
          <w:szCs w:val="20"/>
          <w:lang w:val="en-GB"/>
        </w:rPr>
        <w:t xml:space="preserve">to clearly show their relative </w:t>
      </w:r>
      <w:r>
        <w:rPr>
          <w:rFonts w:asciiTheme="minorHAnsi" w:hAnsiTheme="minorHAnsi"/>
          <w:sz w:val="20"/>
          <w:szCs w:val="20"/>
          <w:lang w:val="en-GB"/>
        </w:rPr>
        <w:t>shapes</w:t>
      </w:r>
      <w:r w:rsidRPr="007F7891">
        <w:rPr>
          <w:rFonts w:asciiTheme="minorHAnsi" w:hAnsiTheme="minorHAnsi"/>
          <w:sz w:val="20"/>
          <w:szCs w:val="20"/>
          <w:lang w:val="en-GB"/>
        </w:rPr>
        <w:t>. Figure 1 depicts temperature rise during the decomposition, figure 2 shows the pressure rise in the bomb.</w:t>
      </w:r>
    </w:p>
    <w:p w:rsidR="00585EAF" w:rsidRPr="007F7891" w:rsidRDefault="00585EAF" w:rsidP="00010F90">
      <w:pPr>
        <w:ind w:firstLine="426"/>
        <w:jc w:val="both"/>
        <w:rPr>
          <w:rFonts w:asciiTheme="minorHAnsi" w:hAnsiTheme="minorHAnsi"/>
          <w:sz w:val="20"/>
          <w:szCs w:val="20"/>
          <w:lang w:val="en-GB"/>
        </w:rPr>
      </w:pPr>
      <w:r w:rsidRPr="007F7891">
        <w:rPr>
          <w:rFonts w:asciiTheme="minorHAnsi" w:hAnsiTheme="minorHAnsi"/>
          <w:sz w:val="20"/>
          <w:szCs w:val="20"/>
          <w:lang w:val="en-GB"/>
        </w:rPr>
        <w:t xml:space="preserve">Table </w:t>
      </w:r>
      <w:r>
        <w:rPr>
          <w:rFonts w:asciiTheme="minorHAnsi" w:hAnsiTheme="minorHAnsi"/>
          <w:sz w:val="20"/>
          <w:szCs w:val="20"/>
          <w:lang w:val="en-GB"/>
        </w:rPr>
        <w:t>2</w:t>
      </w:r>
      <w:r w:rsidRPr="007F7891">
        <w:rPr>
          <w:rFonts w:asciiTheme="minorHAnsi" w:hAnsiTheme="minorHAnsi"/>
          <w:sz w:val="20"/>
          <w:szCs w:val="20"/>
          <w:lang w:val="en-GB"/>
        </w:rPr>
        <w:t xml:space="preserve"> contains decomposition parameters of DBP calculated with the software calorimeter software, which takes into account non-ideal adiabatic environment of the calorimeter and recalculate</w:t>
      </w:r>
      <w:r w:rsidR="00010F90">
        <w:rPr>
          <w:rFonts w:asciiTheme="minorHAnsi" w:hAnsiTheme="minorHAnsi"/>
          <w:sz w:val="20"/>
          <w:szCs w:val="20"/>
          <w:lang w:val="en-GB"/>
        </w:rPr>
        <w:t>s recorded values with</w:t>
      </w:r>
      <w:r w:rsidRPr="007F7891">
        <w:rPr>
          <w:rFonts w:asciiTheme="minorHAnsi" w:hAnsiTheme="minorHAnsi"/>
          <w:sz w:val="20"/>
          <w:szCs w:val="20"/>
          <w:lang w:val="en-GB"/>
        </w:rPr>
        <w:t xml:space="preserve"> Φ-factor.</w:t>
      </w:r>
    </w:p>
    <w:p w:rsidR="00010F90" w:rsidRDefault="00585EAF" w:rsidP="00585EAF">
      <w:pPr>
        <w:pStyle w:val="Titulek"/>
        <w:keepNext/>
        <w:spacing w:after="0"/>
        <w:rPr>
          <w:rFonts w:asciiTheme="minorHAnsi" w:hAnsiTheme="minorHAnsi"/>
          <w:b w:val="0"/>
          <w:color w:val="auto"/>
          <w:sz w:val="20"/>
          <w:szCs w:val="20"/>
          <w:lang w:val="en-GB"/>
        </w:rPr>
      </w:pPr>
      <w:proofErr w:type="gramStart"/>
      <w:r w:rsidRPr="00010F90">
        <w:rPr>
          <w:rFonts w:asciiTheme="minorHAnsi" w:hAnsiTheme="minorHAnsi"/>
          <w:b w:val="0"/>
          <w:color w:val="auto"/>
          <w:sz w:val="20"/>
          <w:szCs w:val="20"/>
          <w:lang w:val="en-GB"/>
        </w:rPr>
        <w:t>Table 2.</w:t>
      </w:r>
      <w:proofErr w:type="gramEnd"/>
    </w:p>
    <w:p w:rsidR="00585EAF" w:rsidRPr="00010F90" w:rsidRDefault="00585EAF" w:rsidP="00585EAF">
      <w:pPr>
        <w:pStyle w:val="Titulek"/>
        <w:keepNext/>
        <w:spacing w:after="0"/>
        <w:rPr>
          <w:rFonts w:asciiTheme="minorHAnsi" w:hAnsiTheme="minorHAnsi"/>
          <w:b w:val="0"/>
          <w:color w:val="auto"/>
          <w:sz w:val="20"/>
          <w:szCs w:val="20"/>
          <w:lang w:val="en-GB"/>
        </w:rPr>
      </w:pPr>
      <w:proofErr w:type="gramStart"/>
      <w:r w:rsidRPr="00010F90">
        <w:rPr>
          <w:rFonts w:asciiTheme="minorHAnsi" w:hAnsiTheme="minorHAnsi"/>
          <w:b w:val="0"/>
          <w:color w:val="auto"/>
          <w:sz w:val="20"/>
          <w:szCs w:val="20"/>
          <w:lang w:val="en-GB"/>
        </w:rPr>
        <w:t>Decomposition parameters of DBP.</w:t>
      </w:r>
      <w:proofErr w:type="gramEnd"/>
    </w:p>
    <w:tbl>
      <w:tblPr>
        <w:tblW w:w="8057" w:type="dxa"/>
        <w:tblInd w:w="93" w:type="dxa"/>
        <w:tblLook w:val="04A0" w:firstRow="1" w:lastRow="0" w:firstColumn="1" w:lastColumn="0" w:noHBand="0" w:noVBand="1"/>
      </w:tblPr>
      <w:tblGrid>
        <w:gridCol w:w="1858"/>
        <w:gridCol w:w="709"/>
        <w:gridCol w:w="1276"/>
        <w:gridCol w:w="1534"/>
        <w:gridCol w:w="1340"/>
        <w:gridCol w:w="1340"/>
      </w:tblGrid>
      <w:tr w:rsidR="00DE083C" w:rsidRPr="007F7891" w:rsidTr="00DE083C">
        <w:trPr>
          <w:trHeight w:val="300"/>
        </w:trPr>
        <w:tc>
          <w:tcPr>
            <w:tcW w:w="1858" w:type="dxa"/>
            <w:tcBorders>
              <w:top w:val="single" w:sz="4" w:space="0" w:color="auto"/>
              <w:left w:val="nil"/>
              <w:bottom w:val="single" w:sz="4" w:space="0" w:color="auto"/>
              <w:right w:val="nil"/>
            </w:tcBorders>
            <w:shd w:val="clear" w:color="auto" w:fill="auto"/>
            <w:noWrap/>
            <w:vAlign w:val="center"/>
            <w:hideMark/>
          </w:tcPr>
          <w:p w:rsidR="00DE083C" w:rsidRPr="007F7891" w:rsidRDefault="00DE083C" w:rsidP="00D213C4">
            <w:pPr>
              <w:rPr>
                <w:rFonts w:ascii="Calibri" w:hAnsi="Calibri"/>
                <w:color w:val="000000"/>
                <w:sz w:val="20"/>
                <w:szCs w:val="20"/>
                <w:lang w:val="en-GB" w:eastAsia="en-US"/>
              </w:rPr>
            </w:pPr>
            <w:r w:rsidRPr="007F7891">
              <w:rPr>
                <w:rFonts w:ascii="Calibri" w:hAnsi="Calibri"/>
                <w:color w:val="000000"/>
                <w:sz w:val="20"/>
                <w:szCs w:val="20"/>
                <w:lang w:val="en-GB" w:eastAsia="en-US"/>
              </w:rPr>
              <w:t>DBP concentration</w:t>
            </w:r>
          </w:p>
        </w:tc>
        <w:tc>
          <w:tcPr>
            <w:tcW w:w="709" w:type="dxa"/>
            <w:tcBorders>
              <w:top w:val="single" w:sz="4" w:space="0" w:color="auto"/>
              <w:left w:val="nil"/>
              <w:bottom w:val="single" w:sz="4" w:space="0" w:color="auto"/>
              <w:right w:val="nil"/>
            </w:tcBorders>
            <w:shd w:val="clear" w:color="auto" w:fill="auto"/>
            <w:noWrap/>
            <w:vAlign w:val="center"/>
            <w:hideMark/>
          </w:tcPr>
          <w:p w:rsidR="00DE083C" w:rsidRPr="007F7891" w:rsidRDefault="00DE083C" w:rsidP="00D213C4">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Φ [-]</w:t>
            </w:r>
          </w:p>
        </w:tc>
        <w:tc>
          <w:tcPr>
            <w:tcW w:w="1276" w:type="dxa"/>
            <w:tcBorders>
              <w:top w:val="single" w:sz="4" w:space="0" w:color="auto"/>
              <w:left w:val="nil"/>
              <w:bottom w:val="single" w:sz="4" w:space="0" w:color="auto"/>
              <w:right w:val="nil"/>
            </w:tcBorders>
            <w:shd w:val="clear" w:color="auto" w:fill="auto"/>
            <w:noWrap/>
            <w:vAlign w:val="center"/>
            <w:hideMark/>
          </w:tcPr>
          <w:p w:rsidR="00DE083C" w:rsidRPr="007F7891" w:rsidRDefault="00DE083C" w:rsidP="00D213C4">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Tonset [°C]</w:t>
            </w:r>
          </w:p>
        </w:tc>
        <w:tc>
          <w:tcPr>
            <w:tcW w:w="1534" w:type="dxa"/>
            <w:tcBorders>
              <w:top w:val="single" w:sz="4" w:space="0" w:color="auto"/>
              <w:left w:val="nil"/>
              <w:bottom w:val="single" w:sz="4" w:space="0" w:color="auto"/>
              <w:right w:val="nil"/>
            </w:tcBorders>
            <w:shd w:val="clear" w:color="auto" w:fill="auto"/>
            <w:noWrap/>
            <w:vAlign w:val="center"/>
            <w:hideMark/>
          </w:tcPr>
          <w:p w:rsidR="00DE083C" w:rsidRPr="007F7891" w:rsidRDefault="00DE083C" w:rsidP="00D213C4">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Tadiab rise [°C]</w:t>
            </w:r>
          </w:p>
        </w:tc>
        <w:tc>
          <w:tcPr>
            <w:tcW w:w="1340" w:type="dxa"/>
            <w:tcBorders>
              <w:top w:val="single" w:sz="4" w:space="0" w:color="auto"/>
              <w:left w:val="nil"/>
              <w:bottom w:val="single" w:sz="4" w:space="0" w:color="auto"/>
              <w:right w:val="nil"/>
            </w:tcBorders>
            <w:shd w:val="clear" w:color="auto" w:fill="auto"/>
            <w:noWrap/>
            <w:vAlign w:val="center"/>
            <w:hideMark/>
          </w:tcPr>
          <w:p w:rsidR="00DE083C" w:rsidRPr="007F7891" w:rsidRDefault="00DE083C" w:rsidP="00D213C4">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Pmax [bar]</w:t>
            </w:r>
          </w:p>
        </w:tc>
        <w:tc>
          <w:tcPr>
            <w:tcW w:w="1340" w:type="dxa"/>
            <w:tcBorders>
              <w:top w:val="single" w:sz="4" w:space="0" w:color="auto"/>
              <w:left w:val="nil"/>
              <w:bottom w:val="single" w:sz="4" w:space="0" w:color="auto"/>
              <w:right w:val="nil"/>
            </w:tcBorders>
            <w:shd w:val="clear" w:color="auto" w:fill="auto"/>
            <w:noWrap/>
            <w:vAlign w:val="center"/>
            <w:hideMark/>
          </w:tcPr>
          <w:p w:rsidR="00DE083C" w:rsidRPr="007F7891" w:rsidRDefault="00F52BFF" w:rsidP="00D213C4">
            <w:pPr>
              <w:jc w:val="center"/>
              <w:rPr>
                <w:rFonts w:ascii="Calibri" w:hAnsi="Calibri"/>
                <w:color w:val="000000"/>
                <w:sz w:val="20"/>
                <w:szCs w:val="20"/>
                <w:lang w:val="en-GB" w:eastAsia="en-US"/>
              </w:rPr>
            </w:pPr>
            <w:r>
              <w:rPr>
                <w:rFonts w:ascii="Calibri" w:hAnsi="Calibri"/>
                <w:color w:val="000000"/>
                <w:sz w:val="20"/>
                <w:szCs w:val="20"/>
                <w:lang w:val="en-GB" w:eastAsia="en-US"/>
              </w:rPr>
              <w:t>H [</w:t>
            </w:r>
            <w:r w:rsidR="00DE083C" w:rsidRPr="007F7891">
              <w:rPr>
                <w:rFonts w:ascii="Calibri" w:hAnsi="Calibri"/>
                <w:color w:val="000000"/>
                <w:sz w:val="20"/>
                <w:szCs w:val="20"/>
                <w:lang w:val="en-GB" w:eastAsia="en-US"/>
              </w:rPr>
              <w:t>J]</w:t>
            </w:r>
          </w:p>
        </w:tc>
      </w:tr>
      <w:tr w:rsidR="00DE083C" w:rsidRPr="007F7891" w:rsidTr="00DE083C">
        <w:trPr>
          <w:trHeight w:val="300"/>
        </w:trPr>
        <w:tc>
          <w:tcPr>
            <w:tcW w:w="1858" w:type="dxa"/>
            <w:tcBorders>
              <w:top w:val="single" w:sz="4" w:space="0" w:color="auto"/>
              <w:left w:val="nil"/>
              <w:bottom w:val="nil"/>
              <w:right w:val="nil"/>
            </w:tcBorders>
            <w:shd w:val="clear" w:color="auto" w:fill="auto"/>
            <w:noWrap/>
            <w:vAlign w:val="center"/>
            <w:hideMark/>
          </w:tcPr>
          <w:p w:rsidR="00DE083C" w:rsidRPr="007F7891" w:rsidRDefault="00DE083C" w:rsidP="00D213C4">
            <w:pPr>
              <w:rPr>
                <w:rFonts w:ascii="Calibri" w:hAnsi="Calibri"/>
                <w:color w:val="000000"/>
                <w:sz w:val="20"/>
                <w:szCs w:val="20"/>
                <w:lang w:val="en-GB" w:eastAsia="en-US"/>
              </w:rPr>
            </w:pPr>
            <w:r w:rsidRPr="007F7891">
              <w:rPr>
                <w:rFonts w:ascii="Calibri" w:hAnsi="Calibri"/>
                <w:color w:val="000000"/>
                <w:sz w:val="20"/>
                <w:szCs w:val="20"/>
                <w:lang w:val="en-GB" w:eastAsia="en-US"/>
              </w:rPr>
              <w:t>5%</w:t>
            </w:r>
          </w:p>
        </w:tc>
        <w:tc>
          <w:tcPr>
            <w:tcW w:w="709" w:type="dxa"/>
            <w:tcBorders>
              <w:top w:val="single" w:sz="4" w:space="0" w:color="auto"/>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1,4</w:t>
            </w:r>
            <w:r w:rsidR="00DE083C" w:rsidRPr="00273C51">
              <w:rPr>
                <w:rFonts w:ascii="Calibri" w:hAnsi="Calibri"/>
                <w:color w:val="000000"/>
                <w:sz w:val="20"/>
                <w:szCs w:val="20"/>
                <w:lang w:val="en-GB" w:eastAsia="en-US"/>
              </w:rPr>
              <w:t>2</w:t>
            </w:r>
          </w:p>
        </w:tc>
        <w:tc>
          <w:tcPr>
            <w:tcW w:w="1276" w:type="dxa"/>
            <w:tcBorders>
              <w:top w:val="single" w:sz="4" w:space="0" w:color="auto"/>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77,6</w:t>
            </w:r>
          </w:p>
        </w:tc>
        <w:tc>
          <w:tcPr>
            <w:tcW w:w="1534" w:type="dxa"/>
            <w:tcBorders>
              <w:top w:val="single" w:sz="4" w:space="0" w:color="auto"/>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8,0</w:t>
            </w:r>
          </w:p>
        </w:tc>
        <w:tc>
          <w:tcPr>
            <w:tcW w:w="1340" w:type="dxa"/>
            <w:tcBorders>
              <w:top w:val="single" w:sz="4" w:space="0" w:color="auto"/>
              <w:left w:val="nil"/>
              <w:bottom w:val="nil"/>
              <w:right w:val="nil"/>
            </w:tcBorders>
            <w:shd w:val="clear" w:color="auto" w:fill="auto"/>
            <w:noWrap/>
            <w:vAlign w:val="center"/>
            <w:hideMark/>
          </w:tcPr>
          <w:p w:rsidR="00DE083C" w:rsidRPr="00273C51" w:rsidRDefault="00DE083C"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4,736</w:t>
            </w:r>
          </w:p>
        </w:tc>
        <w:tc>
          <w:tcPr>
            <w:tcW w:w="1340" w:type="dxa"/>
            <w:tcBorders>
              <w:top w:val="single" w:sz="4" w:space="0" w:color="auto"/>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116,464</w:t>
            </w:r>
          </w:p>
        </w:tc>
      </w:tr>
      <w:tr w:rsidR="00DE083C" w:rsidRPr="007F7891" w:rsidTr="00DE083C">
        <w:trPr>
          <w:trHeight w:val="300"/>
        </w:trPr>
        <w:tc>
          <w:tcPr>
            <w:tcW w:w="1858" w:type="dxa"/>
            <w:tcBorders>
              <w:top w:val="nil"/>
              <w:left w:val="nil"/>
              <w:bottom w:val="nil"/>
              <w:right w:val="nil"/>
            </w:tcBorders>
            <w:shd w:val="clear" w:color="auto" w:fill="auto"/>
            <w:noWrap/>
            <w:vAlign w:val="center"/>
            <w:hideMark/>
          </w:tcPr>
          <w:p w:rsidR="00DE083C" w:rsidRPr="007F7891" w:rsidRDefault="00DE083C" w:rsidP="00D213C4">
            <w:pPr>
              <w:rPr>
                <w:rFonts w:ascii="Calibri" w:hAnsi="Calibri"/>
                <w:color w:val="000000"/>
                <w:sz w:val="20"/>
                <w:szCs w:val="20"/>
                <w:lang w:val="en-GB" w:eastAsia="en-US"/>
              </w:rPr>
            </w:pPr>
            <w:r w:rsidRPr="007F7891">
              <w:rPr>
                <w:rFonts w:ascii="Calibri" w:hAnsi="Calibri"/>
                <w:color w:val="000000"/>
                <w:sz w:val="20"/>
                <w:szCs w:val="20"/>
                <w:lang w:val="en-GB" w:eastAsia="en-US"/>
              </w:rPr>
              <w:t>10%</w:t>
            </w:r>
          </w:p>
        </w:tc>
        <w:tc>
          <w:tcPr>
            <w:tcW w:w="709" w:type="dxa"/>
            <w:tcBorders>
              <w:top w:val="nil"/>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1,4</w:t>
            </w:r>
            <w:r w:rsidR="00DE083C" w:rsidRPr="00273C51">
              <w:rPr>
                <w:rFonts w:ascii="Calibri" w:hAnsi="Calibri"/>
                <w:color w:val="000000"/>
                <w:sz w:val="20"/>
                <w:szCs w:val="20"/>
                <w:lang w:val="en-GB" w:eastAsia="en-US"/>
              </w:rPr>
              <w:t>2</w:t>
            </w:r>
          </w:p>
        </w:tc>
        <w:tc>
          <w:tcPr>
            <w:tcW w:w="1276" w:type="dxa"/>
            <w:tcBorders>
              <w:top w:val="nil"/>
              <w:left w:val="nil"/>
              <w:bottom w:val="nil"/>
              <w:right w:val="nil"/>
            </w:tcBorders>
            <w:shd w:val="clear" w:color="auto" w:fill="auto"/>
            <w:noWrap/>
            <w:vAlign w:val="center"/>
            <w:hideMark/>
          </w:tcPr>
          <w:p w:rsidR="00DE083C" w:rsidRPr="00273C51" w:rsidRDefault="00DE083C" w:rsidP="00F52BFF">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7</w:t>
            </w:r>
            <w:r w:rsidR="00F52BFF" w:rsidRPr="00273C51">
              <w:rPr>
                <w:rFonts w:ascii="Calibri" w:hAnsi="Calibri"/>
                <w:color w:val="000000"/>
                <w:sz w:val="20"/>
                <w:szCs w:val="20"/>
                <w:lang w:val="en-GB" w:eastAsia="en-US"/>
              </w:rPr>
              <w:t>1</w:t>
            </w:r>
            <w:r w:rsidRPr="00273C51">
              <w:rPr>
                <w:rFonts w:ascii="Calibri" w:hAnsi="Calibri"/>
                <w:color w:val="000000"/>
                <w:sz w:val="20"/>
                <w:szCs w:val="20"/>
                <w:lang w:val="en-GB" w:eastAsia="en-US"/>
              </w:rPr>
              <w:t>,6</w:t>
            </w:r>
          </w:p>
        </w:tc>
        <w:tc>
          <w:tcPr>
            <w:tcW w:w="1534" w:type="dxa"/>
            <w:tcBorders>
              <w:top w:val="nil"/>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20,0</w:t>
            </w:r>
          </w:p>
        </w:tc>
        <w:tc>
          <w:tcPr>
            <w:tcW w:w="1340" w:type="dxa"/>
            <w:tcBorders>
              <w:top w:val="nil"/>
              <w:left w:val="nil"/>
              <w:bottom w:val="nil"/>
              <w:right w:val="nil"/>
            </w:tcBorders>
            <w:shd w:val="clear" w:color="auto" w:fill="auto"/>
            <w:noWrap/>
            <w:vAlign w:val="center"/>
            <w:hideMark/>
          </w:tcPr>
          <w:p w:rsidR="00DE083C" w:rsidRPr="00273C51" w:rsidRDefault="00DE083C"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8,907</w:t>
            </w:r>
          </w:p>
        </w:tc>
        <w:tc>
          <w:tcPr>
            <w:tcW w:w="1340" w:type="dxa"/>
            <w:tcBorders>
              <w:top w:val="nil"/>
              <w:left w:val="nil"/>
              <w:bottom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291,414</w:t>
            </w:r>
          </w:p>
        </w:tc>
      </w:tr>
      <w:tr w:rsidR="00DE083C" w:rsidRPr="007F7891" w:rsidTr="00DE083C">
        <w:trPr>
          <w:trHeight w:val="300"/>
        </w:trPr>
        <w:tc>
          <w:tcPr>
            <w:tcW w:w="1858" w:type="dxa"/>
            <w:tcBorders>
              <w:top w:val="nil"/>
              <w:left w:val="nil"/>
              <w:right w:val="nil"/>
            </w:tcBorders>
            <w:shd w:val="clear" w:color="auto" w:fill="auto"/>
            <w:noWrap/>
            <w:vAlign w:val="center"/>
            <w:hideMark/>
          </w:tcPr>
          <w:p w:rsidR="00DE083C" w:rsidRPr="007F7891" w:rsidRDefault="00DE083C" w:rsidP="00D213C4">
            <w:pPr>
              <w:rPr>
                <w:rFonts w:ascii="Calibri" w:hAnsi="Calibri"/>
                <w:color w:val="000000"/>
                <w:sz w:val="20"/>
                <w:szCs w:val="20"/>
                <w:lang w:val="en-GB" w:eastAsia="en-US"/>
              </w:rPr>
            </w:pPr>
            <w:r w:rsidRPr="007F7891">
              <w:rPr>
                <w:rFonts w:ascii="Calibri" w:hAnsi="Calibri"/>
                <w:color w:val="000000"/>
                <w:sz w:val="20"/>
                <w:szCs w:val="20"/>
                <w:lang w:val="en-GB" w:eastAsia="en-US"/>
              </w:rPr>
              <w:t>15%</w:t>
            </w:r>
          </w:p>
        </w:tc>
        <w:tc>
          <w:tcPr>
            <w:tcW w:w="709" w:type="dxa"/>
            <w:tcBorders>
              <w:top w:val="nil"/>
              <w:left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1,4</w:t>
            </w:r>
            <w:r w:rsidR="00DE083C" w:rsidRPr="00273C51">
              <w:rPr>
                <w:rFonts w:ascii="Calibri" w:hAnsi="Calibri"/>
                <w:color w:val="000000"/>
                <w:sz w:val="20"/>
                <w:szCs w:val="20"/>
                <w:lang w:val="en-GB" w:eastAsia="en-US"/>
              </w:rPr>
              <w:t>2</w:t>
            </w:r>
          </w:p>
        </w:tc>
        <w:tc>
          <w:tcPr>
            <w:tcW w:w="1276" w:type="dxa"/>
            <w:tcBorders>
              <w:top w:val="nil"/>
              <w:left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67</w:t>
            </w:r>
            <w:r w:rsidR="00DE083C" w:rsidRPr="00273C51">
              <w:rPr>
                <w:rFonts w:ascii="Calibri" w:hAnsi="Calibri"/>
                <w:color w:val="000000"/>
                <w:sz w:val="20"/>
                <w:szCs w:val="20"/>
                <w:lang w:val="en-GB" w:eastAsia="en-US"/>
              </w:rPr>
              <w:t>,6</w:t>
            </w:r>
          </w:p>
        </w:tc>
        <w:tc>
          <w:tcPr>
            <w:tcW w:w="1534" w:type="dxa"/>
            <w:tcBorders>
              <w:top w:val="nil"/>
              <w:left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44,1</w:t>
            </w:r>
          </w:p>
        </w:tc>
        <w:tc>
          <w:tcPr>
            <w:tcW w:w="1340" w:type="dxa"/>
            <w:tcBorders>
              <w:top w:val="nil"/>
              <w:left w:val="nil"/>
              <w:right w:val="nil"/>
            </w:tcBorders>
            <w:shd w:val="clear" w:color="auto" w:fill="auto"/>
            <w:noWrap/>
            <w:vAlign w:val="center"/>
            <w:hideMark/>
          </w:tcPr>
          <w:p w:rsidR="00DE083C" w:rsidRPr="00273C51" w:rsidRDefault="00DE083C"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15,214</w:t>
            </w:r>
          </w:p>
        </w:tc>
        <w:tc>
          <w:tcPr>
            <w:tcW w:w="1340" w:type="dxa"/>
            <w:tcBorders>
              <w:top w:val="nil"/>
              <w:left w:val="nil"/>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641,620</w:t>
            </w:r>
          </w:p>
        </w:tc>
      </w:tr>
      <w:tr w:rsidR="00DE083C" w:rsidRPr="007F7891" w:rsidTr="00DE083C">
        <w:trPr>
          <w:trHeight w:val="300"/>
        </w:trPr>
        <w:tc>
          <w:tcPr>
            <w:tcW w:w="1858" w:type="dxa"/>
            <w:tcBorders>
              <w:top w:val="nil"/>
              <w:left w:val="nil"/>
              <w:bottom w:val="single" w:sz="4" w:space="0" w:color="auto"/>
              <w:right w:val="nil"/>
            </w:tcBorders>
            <w:shd w:val="clear" w:color="auto" w:fill="auto"/>
            <w:noWrap/>
            <w:vAlign w:val="center"/>
            <w:hideMark/>
          </w:tcPr>
          <w:p w:rsidR="00DE083C" w:rsidRPr="007F7891" w:rsidRDefault="00DE083C" w:rsidP="00D213C4">
            <w:pPr>
              <w:rPr>
                <w:rFonts w:ascii="Calibri" w:hAnsi="Calibri"/>
                <w:color w:val="000000"/>
                <w:sz w:val="20"/>
                <w:szCs w:val="20"/>
                <w:lang w:val="en-GB" w:eastAsia="en-US"/>
              </w:rPr>
            </w:pPr>
            <w:r w:rsidRPr="007F7891">
              <w:rPr>
                <w:rFonts w:ascii="Calibri" w:hAnsi="Calibri"/>
                <w:color w:val="000000"/>
                <w:sz w:val="20"/>
                <w:szCs w:val="20"/>
                <w:lang w:val="en-GB" w:eastAsia="en-US"/>
              </w:rPr>
              <w:t>20%</w:t>
            </w:r>
          </w:p>
        </w:tc>
        <w:tc>
          <w:tcPr>
            <w:tcW w:w="709" w:type="dxa"/>
            <w:tcBorders>
              <w:top w:val="nil"/>
              <w:left w:val="nil"/>
              <w:bottom w:val="single" w:sz="4" w:space="0" w:color="auto"/>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1,4</w:t>
            </w:r>
            <w:r w:rsidR="00DE083C" w:rsidRPr="00273C51">
              <w:rPr>
                <w:rFonts w:ascii="Calibri" w:hAnsi="Calibri"/>
                <w:color w:val="000000"/>
                <w:sz w:val="20"/>
                <w:szCs w:val="20"/>
                <w:lang w:val="en-GB" w:eastAsia="en-US"/>
              </w:rPr>
              <w:t>2</w:t>
            </w:r>
          </w:p>
        </w:tc>
        <w:tc>
          <w:tcPr>
            <w:tcW w:w="1276" w:type="dxa"/>
            <w:tcBorders>
              <w:top w:val="nil"/>
              <w:left w:val="nil"/>
              <w:bottom w:val="single" w:sz="4" w:space="0" w:color="auto"/>
              <w:right w:val="nil"/>
            </w:tcBorders>
            <w:shd w:val="clear" w:color="auto" w:fill="auto"/>
            <w:noWrap/>
            <w:vAlign w:val="center"/>
            <w:hideMark/>
          </w:tcPr>
          <w:p w:rsidR="00DE083C" w:rsidRPr="00273C51" w:rsidRDefault="00DE083C"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6</w:t>
            </w:r>
            <w:r w:rsidR="00F52BFF" w:rsidRPr="00273C51">
              <w:rPr>
                <w:rFonts w:ascii="Calibri" w:hAnsi="Calibri"/>
                <w:color w:val="000000"/>
                <w:sz w:val="20"/>
                <w:szCs w:val="20"/>
                <w:lang w:val="en-GB" w:eastAsia="en-US"/>
              </w:rPr>
              <w:t>2,3</w:t>
            </w:r>
          </w:p>
        </w:tc>
        <w:tc>
          <w:tcPr>
            <w:tcW w:w="1534" w:type="dxa"/>
            <w:tcBorders>
              <w:top w:val="nil"/>
              <w:left w:val="nil"/>
              <w:bottom w:val="single" w:sz="4" w:space="0" w:color="auto"/>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65,5</w:t>
            </w:r>
          </w:p>
        </w:tc>
        <w:tc>
          <w:tcPr>
            <w:tcW w:w="1340" w:type="dxa"/>
            <w:tcBorders>
              <w:top w:val="nil"/>
              <w:left w:val="nil"/>
              <w:bottom w:val="single" w:sz="4" w:space="0" w:color="auto"/>
              <w:right w:val="nil"/>
            </w:tcBorders>
            <w:shd w:val="clear" w:color="auto" w:fill="auto"/>
            <w:noWrap/>
            <w:vAlign w:val="center"/>
            <w:hideMark/>
          </w:tcPr>
          <w:p w:rsidR="00DE083C" w:rsidRPr="00273C51" w:rsidRDefault="00DE083C"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21,068</w:t>
            </w:r>
          </w:p>
        </w:tc>
        <w:tc>
          <w:tcPr>
            <w:tcW w:w="1340" w:type="dxa"/>
            <w:tcBorders>
              <w:top w:val="nil"/>
              <w:left w:val="nil"/>
              <w:bottom w:val="single" w:sz="4" w:space="0" w:color="auto"/>
              <w:right w:val="nil"/>
            </w:tcBorders>
            <w:shd w:val="clear" w:color="auto" w:fill="auto"/>
            <w:noWrap/>
            <w:vAlign w:val="center"/>
            <w:hideMark/>
          </w:tcPr>
          <w:p w:rsidR="00DE083C" w:rsidRPr="00273C51" w:rsidRDefault="00F52BFF" w:rsidP="00D213C4">
            <w:pPr>
              <w:jc w:val="center"/>
              <w:rPr>
                <w:rFonts w:ascii="Calibri" w:hAnsi="Calibri"/>
                <w:color w:val="000000"/>
                <w:sz w:val="20"/>
                <w:szCs w:val="20"/>
                <w:lang w:val="en-GB" w:eastAsia="en-US"/>
              </w:rPr>
            </w:pPr>
            <w:r w:rsidRPr="00273C51">
              <w:rPr>
                <w:rFonts w:ascii="Calibri" w:hAnsi="Calibri"/>
                <w:color w:val="000000"/>
                <w:sz w:val="20"/>
                <w:szCs w:val="20"/>
                <w:lang w:val="en-GB" w:eastAsia="en-US"/>
              </w:rPr>
              <w:t>951,585</w:t>
            </w:r>
          </w:p>
        </w:tc>
      </w:tr>
    </w:tbl>
    <w:p w:rsidR="00585EAF" w:rsidRPr="007F7891" w:rsidRDefault="00585EAF" w:rsidP="00585EAF">
      <w:pPr>
        <w:ind w:firstLine="720"/>
        <w:jc w:val="both"/>
        <w:rPr>
          <w:rFonts w:asciiTheme="minorHAnsi" w:hAnsiTheme="minorHAnsi"/>
          <w:sz w:val="20"/>
          <w:szCs w:val="20"/>
          <w:lang w:val="en-GB"/>
        </w:rPr>
      </w:pPr>
    </w:p>
    <w:p w:rsidR="00585EAF" w:rsidRDefault="00F36C06" w:rsidP="006C36F4">
      <w:pPr>
        <w:ind w:firstLine="426"/>
        <w:jc w:val="both"/>
        <w:rPr>
          <w:rFonts w:asciiTheme="minorHAnsi" w:hAnsiTheme="minorHAnsi"/>
          <w:sz w:val="20"/>
          <w:szCs w:val="20"/>
          <w:lang w:val="en-GB"/>
        </w:rPr>
      </w:pPr>
      <w:r>
        <w:rPr>
          <w:rFonts w:asciiTheme="minorHAnsi" w:hAnsiTheme="minorHAnsi"/>
          <w:sz w:val="20"/>
          <w:szCs w:val="20"/>
          <w:lang w:val="en-GB"/>
        </w:rPr>
        <w:lastRenderedPageBreak/>
        <w:t>The</w:t>
      </w:r>
      <w:r w:rsidR="00DE083C">
        <w:rPr>
          <w:rFonts w:asciiTheme="minorHAnsi" w:hAnsiTheme="minorHAnsi"/>
          <w:sz w:val="20"/>
          <w:szCs w:val="20"/>
          <w:lang w:val="en-GB"/>
        </w:rPr>
        <w:t xml:space="preserve"> first set of experiments shows expected results. As the concentration of DBP in toluene rises, the onset temperature of decomposition (decomposition temperature) falls. The adiabatic temperature rise, maximum pressure and overall evolved enthalpy rise with the rising concentration; simply due to the fact that more of DBP is decomposed during the experiment.</w:t>
      </w:r>
    </w:p>
    <w:p w:rsidR="00F25706" w:rsidRPr="007F7891" w:rsidRDefault="00F25706" w:rsidP="006C36F4">
      <w:pPr>
        <w:ind w:firstLine="426"/>
        <w:jc w:val="both"/>
        <w:rPr>
          <w:rFonts w:asciiTheme="minorHAnsi" w:hAnsiTheme="minorHAnsi"/>
          <w:sz w:val="20"/>
          <w:szCs w:val="20"/>
          <w:lang w:val="en-GB" w:eastAsia="en-US"/>
        </w:rPr>
      </w:pPr>
      <w:r w:rsidRPr="007F7891">
        <w:rPr>
          <w:rFonts w:asciiTheme="minorHAnsi" w:hAnsiTheme="minorHAnsi"/>
          <w:sz w:val="20"/>
          <w:szCs w:val="20"/>
          <w:lang w:val="en-GB" w:eastAsia="en-US"/>
        </w:rPr>
        <w:t>Similarly</w:t>
      </w:r>
      <w:r>
        <w:rPr>
          <w:rFonts w:asciiTheme="minorHAnsi" w:hAnsiTheme="minorHAnsi"/>
          <w:sz w:val="20"/>
          <w:szCs w:val="20"/>
          <w:lang w:val="en-GB" w:eastAsia="en-US"/>
        </w:rPr>
        <w:t>,</w:t>
      </w:r>
      <w:r w:rsidRPr="007F7891">
        <w:rPr>
          <w:rFonts w:asciiTheme="minorHAnsi" w:hAnsiTheme="minorHAnsi"/>
          <w:sz w:val="20"/>
          <w:szCs w:val="20"/>
          <w:lang w:val="en-GB" w:eastAsia="en-US"/>
        </w:rPr>
        <w:t xml:space="preserve"> the pressure </w:t>
      </w:r>
      <w:r>
        <w:rPr>
          <w:rFonts w:asciiTheme="minorHAnsi" w:hAnsiTheme="minorHAnsi"/>
          <w:sz w:val="20"/>
          <w:szCs w:val="20"/>
          <w:lang w:val="en-GB" w:eastAsia="en-US"/>
        </w:rPr>
        <w:t>curves</w:t>
      </w:r>
      <w:r w:rsidRPr="007F7891">
        <w:rPr>
          <w:rFonts w:asciiTheme="minorHAnsi" w:hAnsiTheme="minorHAnsi"/>
          <w:sz w:val="20"/>
          <w:szCs w:val="20"/>
          <w:lang w:val="en-GB" w:eastAsia="en-US"/>
        </w:rPr>
        <w:t xml:space="preserve"> more or less copy the temperature rise, although the begin</w:t>
      </w:r>
      <w:r>
        <w:rPr>
          <w:rFonts w:asciiTheme="minorHAnsi" w:hAnsiTheme="minorHAnsi"/>
          <w:sz w:val="20"/>
          <w:szCs w:val="20"/>
          <w:lang w:val="en-GB" w:eastAsia="en-US"/>
        </w:rPr>
        <w:t>n</w:t>
      </w:r>
      <w:r w:rsidRPr="007F7891">
        <w:rPr>
          <w:rFonts w:asciiTheme="minorHAnsi" w:hAnsiTheme="minorHAnsi"/>
          <w:sz w:val="20"/>
          <w:szCs w:val="20"/>
          <w:lang w:val="en-GB" w:eastAsia="en-US"/>
        </w:rPr>
        <w:t xml:space="preserve">ing of the </w:t>
      </w:r>
      <w:r>
        <w:rPr>
          <w:rFonts w:asciiTheme="minorHAnsi" w:hAnsiTheme="minorHAnsi"/>
          <w:sz w:val="20"/>
          <w:szCs w:val="20"/>
          <w:lang w:val="en-GB" w:eastAsia="en-US"/>
        </w:rPr>
        <w:t>decomposition</w:t>
      </w:r>
      <w:r w:rsidRPr="007F7891">
        <w:rPr>
          <w:rFonts w:asciiTheme="minorHAnsi" w:hAnsiTheme="minorHAnsi"/>
          <w:sz w:val="20"/>
          <w:szCs w:val="20"/>
          <w:lang w:val="en-GB" w:eastAsia="en-US"/>
        </w:rPr>
        <w:t xml:space="preserve"> is not so clear. However from the point where the DBP starts to decompose, it is clear that the higher concentration means faster decomposition leading to higher pressures.</w:t>
      </w:r>
    </w:p>
    <w:p w:rsidR="00EC5718" w:rsidRDefault="00DE083C" w:rsidP="006C36F4">
      <w:pPr>
        <w:ind w:firstLine="426"/>
        <w:jc w:val="both"/>
        <w:rPr>
          <w:rFonts w:asciiTheme="minorHAnsi" w:hAnsiTheme="minorHAnsi"/>
          <w:sz w:val="20"/>
          <w:szCs w:val="20"/>
          <w:lang w:val="en-GB"/>
        </w:rPr>
      </w:pPr>
      <w:r w:rsidRPr="007F7891">
        <w:rPr>
          <w:rFonts w:asciiTheme="minorHAnsi" w:hAnsiTheme="minorHAnsi"/>
          <w:sz w:val="20"/>
          <w:szCs w:val="20"/>
          <w:lang w:val="en-GB" w:eastAsia="en-US"/>
        </w:rPr>
        <w:t>The second part of experiment is focused on the influence of bomb type on the measured results. In this case</w:t>
      </w:r>
      <w:r w:rsidR="00F25706">
        <w:rPr>
          <w:rFonts w:asciiTheme="minorHAnsi" w:hAnsiTheme="minorHAnsi"/>
          <w:sz w:val="20"/>
          <w:szCs w:val="20"/>
          <w:lang w:val="en-GB" w:eastAsia="en-US"/>
        </w:rPr>
        <w:t>,</w:t>
      </w:r>
      <w:r w:rsidRPr="007F7891">
        <w:rPr>
          <w:rFonts w:asciiTheme="minorHAnsi" w:hAnsiTheme="minorHAnsi"/>
          <w:sz w:val="20"/>
          <w:szCs w:val="20"/>
          <w:lang w:val="en-GB" w:eastAsia="en-US"/>
        </w:rPr>
        <w:t xml:space="preserve"> pentaeryt</w:t>
      </w:r>
      <w:r>
        <w:rPr>
          <w:rFonts w:asciiTheme="minorHAnsi" w:hAnsiTheme="minorHAnsi"/>
          <w:sz w:val="20"/>
          <w:szCs w:val="20"/>
          <w:lang w:val="en-GB" w:eastAsia="en-US"/>
        </w:rPr>
        <w:t>h</w:t>
      </w:r>
      <w:r w:rsidRPr="007F7891">
        <w:rPr>
          <w:rFonts w:asciiTheme="minorHAnsi" w:hAnsiTheme="minorHAnsi"/>
          <w:sz w:val="20"/>
          <w:szCs w:val="20"/>
          <w:lang w:val="en-GB" w:eastAsia="en-US"/>
        </w:rPr>
        <w:t>r</w:t>
      </w:r>
      <w:r w:rsidR="00F25706">
        <w:rPr>
          <w:rFonts w:asciiTheme="minorHAnsi" w:hAnsiTheme="minorHAnsi"/>
          <w:sz w:val="20"/>
          <w:szCs w:val="20"/>
          <w:lang w:val="en-GB" w:eastAsia="en-US"/>
        </w:rPr>
        <w:t>i</w:t>
      </w:r>
      <w:r w:rsidRPr="007F7891">
        <w:rPr>
          <w:rFonts w:asciiTheme="minorHAnsi" w:hAnsiTheme="minorHAnsi"/>
          <w:sz w:val="20"/>
          <w:szCs w:val="20"/>
          <w:lang w:val="en-GB" w:eastAsia="en-US"/>
        </w:rPr>
        <w:t xml:space="preserve">tole </w:t>
      </w:r>
      <w:r w:rsidR="00F25706">
        <w:rPr>
          <w:rFonts w:asciiTheme="minorHAnsi" w:hAnsiTheme="minorHAnsi"/>
          <w:sz w:val="20"/>
          <w:szCs w:val="20"/>
          <w:lang w:val="en-GB" w:eastAsia="en-US"/>
        </w:rPr>
        <w:t xml:space="preserve">tetranitrate </w:t>
      </w:r>
      <w:r w:rsidRPr="007F7891">
        <w:rPr>
          <w:rFonts w:asciiTheme="minorHAnsi" w:hAnsiTheme="minorHAnsi"/>
          <w:sz w:val="20"/>
          <w:szCs w:val="20"/>
          <w:lang w:val="en-GB" w:eastAsia="en-US"/>
        </w:rPr>
        <w:t xml:space="preserve">(PETN) was selected as the testing compound. </w:t>
      </w:r>
      <w:r w:rsidR="00F25706">
        <w:rPr>
          <w:rFonts w:asciiTheme="minorHAnsi" w:hAnsiTheme="minorHAnsi"/>
          <w:sz w:val="20"/>
          <w:szCs w:val="20"/>
          <w:lang w:val="en-GB" w:eastAsia="en-US"/>
        </w:rPr>
        <w:t>P</w:t>
      </w:r>
      <w:r w:rsidR="00F25706">
        <w:rPr>
          <w:rFonts w:asciiTheme="minorHAnsi" w:hAnsiTheme="minorHAnsi"/>
          <w:sz w:val="20"/>
          <w:szCs w:val="20"/>
          <w:lang w:val="en-GB"/>
        </w:rPr>
        <w:t>ETN is an explosive. To limit the damage to the apparatus, only a small amount of sample (80 mg) could be used. Therefore all the measurements from the second part were carried out with the relatively high Φ-factor.</w:t>
      </w:r>
      <w:r w:rsidR="00EC5718">
        <w:rPr>
          <w:rFonts w:asciiTheme="minorHAnsi" w:hAnsiTheme="minorHAnsi"/>
          <w:sz w:val="20"/>
          <w:szCs w:val="20"/>
          <w:lang w:val="en-GB"/>
        </w:rPr>
        <w:t xml:space="preserve"> </w:t>
      </w:r>
      <w:r w:rsidR="00EC5718">
        <w:rPr>
          <w:rFonts w:asciiTheme="minorHAnsi" w:hAnsiTheme="minorHAnsi"/>
          <w:sz w:val="20"/>
          <w:szCs w:val="20"/>
          <w:lang w:val="en-GB" w:eastAsia="en-US"/>
        </w:rPr>
        <w:t xml:space="preserve">As a rule of thumb, the measurements should be carried out with as low </w:t>
      </w:r>
      <w:r w:rsidR="00EC5718">
        <w:rPr>
          <w:rFonts w:asciiTheme="minorHAnsi" w:hAnsiTheme="minorHAnsi"/>
          <w:sz w:val="20"/>
          <w:szCs w:val="20"/>
          <w:lang w:val="en-GB"/>
        </w:rPr>
        <w:t>Φ-factor as possible. However the decomposition of explosives is another issue and the safety is the most important in this case.</w:t>
      </w:r>
    </w:p>
    <w:p w:rsidR="00F25706" w:rsidRDefault="00DE083C" w:rsidP="006C36F4">
      <w:pPr>
        <w:ind w:firstLine="426"/>
        <w:jc w:val="both"/>
        <w:rPr>
          <w:rFonts w:asciiTheme="minorHAnsi" w:hAnsiTheme="minorHAnsi"/>
          <w:sz w:val="20"/>
          <w:szCs w:val="20"/>
          <w:lang w:val="en-GB"/>
        </w:rPr>
      </w:pPr>
      <w:r w:rsidRPr="007F7891">
        <w:rPr>
          <w:rFonts w:asciiTheme="minorHAnsi" w:hAnsiTheme="minorHAnsi"/>
          <w:sz w:val="20"/>
          <w:szCs w:val="20"/>
          <w:lang w:val="en-GB" w:eastAsia="en-US"/>
        </w:rPr>
        <w:t xml:space="preserve">The figure 3 shows temperature </w:t>
      </w:r>
      <w:r w:rsidR="00F25706">
        <w:rPr>
          <w:rFonts w:asciiTheme="minorHAnsi" w:hAnsiTheme="minorHAnsi"/>
          <w:sz w:val="20"/>
          <w:szCs w:val="20"/>
          <w:lang w:val="en-GB" w:eastAsia="en-US"/>
        </w:rPr>
        <w:t xml:space="preserve">profile </w:t>
      </w:r>
      <w:r w:rsidRPr="007F7891">
        <w:rPr>
          <w:rFonts w:asciiTheme="minorHAnsi" w:hAnsiTheme="minorHAnsi"/>
          <w:sz w:val="20"/>
          <w:szCs w:val="20"/>
          <w:lang w:val="en-GB" w:eastAsia="en-US"/>
        </w:rPr>
        <w:t xml:space="preserve">caused by decomposition of PETN in each type of bomb, figure 4 </w:t>
      </w:r>
      <w:r w:rsidR="00F25706">
        <w:rPr>
          <w:rFonts w:asciiTheme="minorHAnsi" w:hAnsiTheme="minorHAnsi"/>
          <w:sz w:val="20"/>
          <w:szCs w:val="20"/>
          <w:lang w:val="en-GB" w:eastAsia="en-US"/>
        </w:rPr>
        <w:t>d</w:t>
      </w:r>
      <w:r w:rsidRPr="007F7891">
        <w:rPr>
          <w:rFonts w:asciiTheme="minorHAnsi" w:hAnsiTheme="minorHAnsi"/>
          <w:sz w:val="20"/>
          <w:szCs w:val="20"/>
          <w:lang w:val="en-GB" w:eastAsia="en-US"/>
        </w:rPr>
        <w:t>epicts the pressure rise. Similarly to the previous experiment</w:t>
      </w:r>
      <w:r w:rsidR="00F25706">
        <w:rPr>
          <w:rFonts w:asciiTheme="minorHAnsi" w:hAnsiTheme="minorHAnsi"/>
          <w:sz w:val="20"/>
          <w:szCs w:val="20"/>
          <w:lang w:val="en-GB" w:eastAsia="en-US"/>
        </w:rPr>
        <w:t>,</w:t>
      </w:r>
      <w:r w:rsidRPr="007F7891">
        <w:rPr>
          <w:rFonts w:asciiTheme="minorHAnsi" w:hAnsiTheme="minorHAnsi"/>
          <w:sz w:val="20"/>
          <w:szCs w:val="20"/>
          <w:lang w:val="en-GB" w:eastAsia="en-US"/>
        </w:rPr>
        <w:t xml:space="preserve"> </w:t>
      </w:r>
      <w:r w:rsidR="00F25706">
        <w:rPr>
          <w:rFonts w:asciiTheme="minorHAnsi" w:hAnsiTheme="minorHAnsi"/>
          <w:sz w:val="20"/>
          <w:szCs w:val="20"/>
          <w:lang w:val="en-GB" w:eastAsia="en-US"/>
        </w:rPr>
        <w:t>t</w:t>
      </w:r>
      <w:r w:rsidR="00F25706" w:rsidRPr="007F7891">
        <w:rPr>
          <w:rFonts w:asciiTheme="minorHAnsi" w:hAnsiTheme="minorHAnsi"/>
          <w:sz w:val="20"/>
          <w:szCs w:val="20"/>
          <w:lang w:val="en-GB"/>
        </w:rPr>
        <w:t xml:space="preserve">he time axis does not correspond with the real time of measurement, but the </w:t>
      </w:r>
      <w:r w:rsidR="00F25706">
        <w:rPr>
          <w:rFonts w:asciiTheme="minorHAnsi" w:hAnsiTheme="minorHAnsi"/>
          <w:sz w:val="20"/>
          <w:szCs w:val="20"/>
          <w:lang w:val="en-GB"/>
        </w:rPr>
        <w:t xml:space="preserve">position </w:t>
      </w:r>
      <w:r w:rsidR="00F25706" w:rsidRPr="007F7891">
        <w:rPr>
          <w:rFonts w:asciiTheme="minorHAnsi" w:hAnsiTheme="minorHAnsi"/>
          <w:sz w:val="20"/>
          <w:szCs w:val="20"/>
          <w:lang w:val="en-GB"/>
        </w:rPr>
        <w:t xml:space="preserve">of the curves was shifted in </w:t>
      </w:r>
      <w:r w:rsidR="00F25706">
        <w:rPr>
          <w:rFonts w:asciiTheme="minorHAnsi" w:hAnsiTheme="minorHAnsi"/>
          <w:sz w:val="20"/>
          <w:szCs w:val="20"/>
          <w:lang w:val="en-GB"/>
        </w:rPr>
        <w:t xml:space="preserve">time </w:t>
      </w:r>
      <w:r w:rsidR="00F25706" w:rsidRPr="007F7891">
        <w:rPr>
          <w:rFonts w:asciiTheme="minorHAnsi" w:hAnsiTheme="minorHAnsi"/>
          <w:sz w:val="20"/>
          <w:szCs w:val="20"/>
          <w:lang w:val="en-GB"/>
        </w:rPr>
        <w:t xml:space="preserve">to clearly show their relative </w:t>
      </w:r>
      <w:r w:rsidR="00F25706">
        <w:rPr>
          <w:rFonts w:asciiTheme="minorHAnsi" w:hAnsiTheme="minorHAnsi"/>
          <w:sz w:val="20"/>
          <w:szCs w:val="20"/>
          <w:lang w:val="en-GB"/>
        </w:rPr>
        <w:t>shapes</w:t>
      </w:r>
      <w:r w:rsidR="00F25706" w:rsidRPr="007F7891">
        <w:rPr>
          <w:rFonts w:asciiTheme="minorHAnsi" w:hAnsiTheme="minorHAnsi"/>
          <w:sz w:val="20"/>
          <w:szCs w:val="20"/>
          <w:lang w:val="en-GB"/>
        </w:rPr>
        <w:t xml:space="preserve">. </w:t>
      </w:r>
      <w:r w:rsidR="00F25706">
        <w:rPr>
          <w:rFonts w:asciiTheme="minorHAnsi" w:hAnsiTheme="minorHAnsi"/>
          <w:sz w:val="20"/>
          <w:szCs w:val="20"/>
          <w:lang w:val="en-GB"/>
        </w:rPr>
        <w:t>The basic parameters of the PETN decomposition are stated in table 3.</w:t>
      </w:r>
    </w:p>
    <w:p w:rsidR="00273C51" w:rsidRPr="007F7891" w:rsidRDefault="00273C51" w:rsidP="00273C51">
      <w:pPr>
        <w:ind w:firstLine="720"/>
        <w:jc w:val="both"/>
        <w:rPr>
          <w:rFonts w:asciiTheme="minorHAnsi" w:hAnsiTheme="minorHAnsi"/>
          <w:sz w:val="20"/>
          <w:szCs w:val="20"/>
          <w:lang w:val="en-GB"/>
        </w:rPr>
      </w:pPr>
    </w:p>
    <w:p w:rsidR="00010F90" w:rsidRDefault="00273C51" w:rsidP="00273C51">
      <w:pPr>
        <w:pStyle w:val="Titulek"/>
        <w:keepNext/>
        <w:spacing w:after="0"/>
        <w:rPr>
          <w:rFonts w:asciiTheme="minorHAnsi" w:hAnsiTheme="minorHAnsi"/>
          <w:b w:val="0"/>
          <w:color w:val="auto"/>
          <w:sz w:val="20"/>
          <w:szCs w:val="20"/>
          <w:lang w:val="en-GB"/>
        </w:rPr>
      </w:pPr>
      <w:proofErr w:type="gramStart"/>
      <w:r w:rsidRPr="00010F90">
        <w:rPr>
          <w:rFonts w:asciiTheme="minorHAnsi" w:hAnsiTheme="minorHAnsi"/>
          <w:b w:val="0"/>
          <w:color w:val="auto"/>
          <w:sz w:val="20"/>
          <w:szCs w:val="20"/>
          <w:lang w:val="en-GB"/>
        </w:rPr>
        <w:t xml:space="preserve">Table </w:t>
      </w:r>
      <w:r w:rsidR="007D6CD4" w:rsidRPr="00010F90">
        <w:rPr>
          <w:rFonts w:asciiTheme="minorHAnsi" w:hAnsiTheme="minorHAnsi"/>
          <w:b w:val="0"/>
          <w:color w:val="auto"/>
          <w:sz w:val="20"/>
          <w:szCs w:val="20"/>
          <w:lang w:val="en-GB"/>
        </w:rPr>
        <w:t>3</w:t>
      </w:r>
      <w:r w:rsidRPr="00010F90">
        <w:rPr>
          <w:rFonts w:asciiTheme="minorHAnsi" w:hAnsiTheme="minorHAnsi"/>
          <w:b w:val="0"/>
          <w:color w:val="auto"/>
          <w:sz w:val="20"/>
          <w:szCs w:val="20"/>
          <w:lang w:val="en-GB"/>
        </w:rPr>
        <w:t>.</w:t>
      </w:r>
      <w:proofErr w:type="gramEnd"/>
    </w:p>
    <w:p w:rsidR="00273C51" w:rsidRPr="00010F90" w:rsidRDefault="00273C51" w:rsidP="00273C51">
      <w:pPr>
        <w:pStyle w:val="Titulek"/>
        <w:keepNext/>
        <w:spacing w:after="0"/>
        <w:rPr>
          <w:rFonts w:asciiTheme="minorHAnsi" w:hAnsiTheme="minorHAnsi"/>
          <w:b w:val="0"/>
          <w:color w:val="auto"/>
          <w:sz w:val="20"/>
          <w:szCs w:val="20"/>
          <w:lang w:val="en-GB"/>
        </w:rPr>
      </w:pPr>
      <w:proofErr w:type="gramStart"/>
      <w:r w:rsidRPr="00010F90">
        <w:rPr>
          <w:rFonts w:asciiTheme="minorHAnsi" w:hAnsiTheme="minorHAnsi"/>
          <w:b w:val="0"/>
          <w:color w:val="auto"/>
          <w:sz w:val="20"/>
          <w:szCs w:val="20"/>
          <w:lang w:val="en-GB"/>
        </w:rPr>
        <w:t>Decomposition parameters of PETN.</w:t>
      </w:r>
      <w:proofErr w:type="gramEnd"/>
    </w:p>
    <w:tbl>
      <w:tblPr>
        <w:tblW w:w="6717" w:type="dxa"/>
        <w:tblInd w:w="93" w:type="dxa"/>
        <w:tblLook w:val="04A0" w:firstRow="1" w:lastRow="0" w:firstColumn="1" w:lastColumn="0" w:noHBand="0" w:noVBand="1"/>
      </w:tblPr>
      <w:tblGrid>
        <w:gridCol w:w="1858"/>
        <w:gridCol w:w="709"/>
        <w:gridCol w:w="1276"/>
        <w:gridCol w:w="1534"/>
        <w:gridCol w:w="1340"/>
      </w:tblGrid>
      <w:tr w:rsidR="00273C51" w:rsidRPr="007F7891" w:rsidTr="00273C51">
        <w:trPr>
          <w:trHeight w:val="300"/>
        </w:trPr>
        <w:tc>
          <w:tcPr>
            <w:tcW w:w="1858" w:type="dxa"/>
            <w:tcBorders>
              <w:top w:val="single" w:sz="4" w:space="0" w:color="auto"/>
              <w:left w:val="nil"/>
              <w:bottom w:val="single" w:sz="4" w:space="0" w:color="auto"/>
              <w:right w:val="nil"/>
            </w:tcBorders>
            <w:shd w:val="clear" w:color="auto" w:fill="auto"/>
            <w:noWrap/>
            <w:vAlign w:val="center"/>
            <w:hideMark/>
          </w:tcPr>
          <w:p w:rsidR="00273C51" w:rsidRPr="007F7891" w:rsidRDefault="00273C51" w:rsidP="00401E16">
            <w:pPr>
              <w:rPr>
                <w:rFonts w:ascii="Calibri" w:hAnsi="Calibri"/>
                <w:color w:val="000000"/>
                <w:sz w:val="20"/>
                <w:szCs w:val="20"/>
                <w:lang w:val="en-GB" w:eastAsia="en-US"/>
              </w:rPr>
            </w:pPr>
            <w:r>
              <w:rPr>
                <w:rFonts w:ascii="Calibri" w:hAnsi="Calibri"/>
                <w:color w:val="000000"/>
                <w:sz w:val="20"/>
                <w:szCs w:val="20"/>
                <w:lang w:val="en-GB" w:eastAsia="en-US"/>
              </w:rPr>
              <w:t>Bomb type</w:t>
            </w:r>
          </w:p>
        </w:tc>
        <w:tc>
          <w:tcPr>
            <w:tcW w:w="709" w:type="dxa"/>
            <w:tcBorders>
              <w:top w:val="single" w:sz="4" w:space="0" w:color="auto"/>
              <w:left w:val="nil"/>
              <w:bottom w:val="single" w:sz="4" w:space="0" w:color="auto"/>
              <w:right w:val="nil"/>
            </w:tcBorders>
            <w:shd w:val="clear" w:color="auto" w:fill="auto"/>
            <w:noWrap/>
            <w:vAlign w:val="center"/>
            <w:hideMark/>
          </w:tcPr>
          <w:p w:rsidR="00273C51" w:rsidRPr="007F7891" w:rsidRDefault="00273C51" w:rsidP="00401E16">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Φ [-]</w:t>
            </w:r>
          </w:p>
        </w:tc>
        <w:tc>
          <w:tcPr>
            <w:tcW w:w="1276" w:type="dxa"/>
            <w:tcBorders>
              <w:top w:val="single" w:sz="4" w:space="0" w:color="auto"/>
              <w:left w:val="nil"/>
              <w:bottom w:val="single" w:sz="4" w:space="0" w:color="auto"/>
              <w:right w:val="nil"/>
            </w:tcBorders>
            <w:shd w:val="clear" w:color="auto" w:fill="auto"/>
            <w:noWrap/>
            <w:vAlign w:val="center"/>
            <w:hideMark/>
          </w:tcPr>
          <w:p w:rsidR="00273C51" w:rsidRPr="007F7891" w:rsidRDefault="00273C51" w:rsidP="00401E16">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Tonset [°C]</w:t>
            </w:r>
          </w:p>
        </w:tc>
        <w:tc>
          <w:tcPr>
            <w:tcW w:w="1534" w:type="dxa"/>
            <w:tcBorders>
              <w:top w:val="single" w:sz="4" w:space="0" w:color="auto"/>
              <w:left w:val="nil"/>
              <w:bottom w:val="single" w:sz="4" w:space="0" w:color="auto"/>
              <w:right w:val="nil"/>
            </w:tcBorders>
            <w:shd w:val="clear" w:color="auto" w:fill="auto"/>
            <w:noWrap/>
            <w:vAlign w:val="center"/>
            <w:hideMark/>
          </w:tcPr>
          <w:p w:rsidR="00273C51" w:rsidRPr="007F7891" w:rsidRDefault="00273C51" w:rsidP="00401E16">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Tadiab</w:t>
            </w:r>
            <w:r>
              <w:rPr>
                <w:rFonts w:ascii="Calibri" w:hAnsi="Calibri"/>
                <w:color w:val="000000"/>
                <w:sz w:val="20"/>
                <w:szCs w:val="20"/>
                <w:lang w:val="en-GB" w:eastAsia="en-US"/>
              </w:rPr>
              <w:t>.</w:t>
            </w:r>
            <w:r w:rsidRPr="007F7891">
              <w:rPr>
                <w:rFonts w:ascii="Calibri" w:hAnsi="Calibri"/>
                <w:color w:val="000000"/>
                <w:sz w:val="20"/>
                <w:szCs w:val="20"/>
                <w:lang w:val="en-GB" w:eastAsia="en-US"/>
              </w:rPr>
              <w:t xml:space="preserve"> rise [°C]</w:t>
            </w:r>
          </w:p>
        </w:tc>
        <w:tc>
          <w:tcPr>
            <w:tcW w:w="1340" w:type="dxa"/>
            <w:tcBorders>
              <w:top w:val="single" w:sz="4" w:space="0" w:color="auto"/>
              <w:left w:val="nil"/>
              <w:bottom w:val="single" w:sz="4" w:space="0" w:color="auto"/>
              <w:right w:val="nil"/>
            </w:tcBorders>
            <w:shd w:val="clear" w:color="auto" w:fill="auto"/>
            <w:noWrap/>
            <w:vAlign w:val="center"/>
            <w:hideMark/>
          </w:tcPr>
          <w:p w:rsidR="00273C51" w:rsidRPr="007F7891" w:rsidRDefault="00273C51" w:rsidP="00401E16">
            <w:pPr>
              <w:jc w:val="center"/>
              <w:rPr>
                <w:rFonts w:ascii="Calibri" w:hAnsi="Calibri"/>
                <w:color w:val="000000"/>
                <w:sz w:val="20"/>
                <w:szCs w:val="20"/>
                <w:lang w:val="en-GB" w:eastAsia="en-US"/>
              </w:rPr>
            </w:pPr>
            <w:r w:rsidRPr="007F7891">
              <w:rPr>
                <w:rFonts w:ascii="Calibri" w:hAnsi="Calibri"/>
                <w:color w:val="000000"/>
                <w:sz w:val="20"/>
                <w:szCs w:val="20"/>
                <w:lang w:val="en-GB" w:eastAsia="en-US"/>
              </w:rPr>
              <w:t>Pmax [bar]</w:t>
            </w:r>
          </w:p>
        </w:tc>
      </w:tr>
      <w:tr w:rsidR="00273C51" w:rsidRPr="007F7891" w:rsidTr="00273C51">
        <w:trPr>
          <w:trHeight w:val="300"/>
        </w:trPr>
        <w:tc>
          <w:tcPr>
            <w:tcW w:w="1858" w:type="dxa"/>
            <w:tcBorders>
              <w:top w:val="single" w:sz="4" w:space="0" w:color="auto"/>
              <w:left w:val="nil"/>
              <w:bottom w:val="nil"/>
              <w:right w:val="nil"/>
            </w:tcBorders>
            <w:shd w:val="clear" w:color="auto" w:fill="auto"/>
            <w:noWrap/>
            <w:vAlign w:val="center"/>
            <w:hideMark/>
          </w:tcPr>
          <w:p w:rsidR="00273C51" w:rsidRPr="007F7891" w:rsidRDefault="00273C51" w:rsidP="00401E16">
            <w:pPr>
              <w:rPr>
                <w:rFonts w:ascii="Calibri" w:hAnsi="Calibri"/>
                <w:color w:val="000000"/>
                <w:sz w:val="20"/>
                <w:szCs w:val="20"/>
                <w:lang w:val="en-GB" w:eastAsia="en-US"/>
              </w:rPr>
            </w:pPr>
            <w:r>
              <w:rPr>
                <w:rFonts w:ascii="Calibri" w:hAnsi="Calibri"/>
                <w:color w:val="000000"/>
                <w:sz w:val="20"/>
                <w:szCs w:val="20"/>
                <w:lang w:val="en-GB" w:eastAsia="en-US"/>
              </w:rPr>
              <w:t>SS-LNQ</w:t>
            </w:r>
          </w:p>
        </w:tc>
        <w:tc>
          <w:tcPr>
            <w:tcW w:w="709" w:type="dxa"/>
            <w:tcBorders>
              <w:top w:val="single" w:sz="4" w:space="0" w:color="auto"/>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59,27</w:t>
            </w:r>
          </w:p>
        </w:tc>
        <w:tc>
          <w:tcPr>
            <w:tcW w:w="1276" w:type="dxa"/>
            <w:tcBorders>
              <w:top w:val="single" w:sz="4" w:space="0" w:color="auto"/>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153,7</w:t>
            </w:r>
          </w:p>
        </w:tc>
        <w:tc>
          <w:tcPr>
            <w:tcW w:w="1534" w:type="dxa"/>
            <w:tcBorders>
              <w:top w:val="single" w:sz="4" w:space="0" w:color="auto"/>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24,1</w:t>
            </w:r>
          </w:p>
        </w:tc>
        <w:tc>
          <w:tcPr>
            <w:tcW w:w="1340" w:type="dxa"/>
            <w:tcBorders>
              <w:top w:val="single" w:sz="4" w:space="0" w:color="auto"/>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9,420</w:t>
            </w:r>
          </w:p>
        </w:tc>
      </w:tr>
      <w:tr w:rsidR="00273C51" w:rsidRPr="007F7891" w:rsidTr="00273C51">
        <w:trPr>
          <w:trHeight w:val="300"/>
        </w:trPr>
        <w:tc>
          <w:tcPr>
            <w:tcW w:w="1858" w:type="dxa"/>
            <w:tcBorders>
              <w:top w:val="nil"/>
              <w:left w:val="nil"/>
              <w:bottom w:val="nil"/>
              <w:right w:val="nil"/>
            </w:tcBorders>
            <w:shd w:val="clear" w:color="auto" w:fill="auto"/>
            <w:noWrap/>
            <w:vAlign w:val="center"/>
            <w:hideMark/>
          </w:tcPr>
          <w:p w:rsidR="00273C51" w:rsidRPr="007F7891" w:rsidRDefault="00273C51" w:rsidP="00401E16">
            <w:pPr>
              <w:rPr>
                <w:rFonts w:ascii="Calibri" w:hAnsi="Calibri"/>
                <w:color w:val="000000"/>
                <w:sz w:val="20"/>
                <w:szCs w:val="20"/>
                <w:lang w:val="en-GB" w:eastAsia="en-US"/>
              </w:rPr>
            </w:pPr>
            <w:r>
              <w:rPr>
                <w:rFonts w:ascii="Calibri" w:hAnsi="Calibri"/>
                <w:color w:val="000000"/>
                <w:sz w:val="20"/>
                <w:szCs w:val="20"/>
                <w:lang w:val="en-GB" w:eastAsia="en-US"/>
              </w:rPr>
              <w:t>HC-MBQ</w:t>
            </w:r>
          </w:p>
        </w:tc>
        <w:tc>
          <w:tcPr>
            <w:tcW w:w="709" w:type="dxa"/>
            <w:tcBorders>
              <w:top w:val="nil"/>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75,55</w:t>
            </w:r>
          </w:p>
        </w:tc>
        <w:tc>
          <w:tcPr>
            <w:tcW w:w="1276" w:type="dxa"/>
            <w:tcBorders>
              <w:top w:val="nil"/>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152,5</w:t>
            </w:r>
          </w:p>
        </w:tc>
        <w:tc>
          <w:tcPr>
            <w:tcW w:w="1534" w:type="dxa"/>
            <w:tcBorders>
              <w:top w:val="nil"/>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26,1</w:t>
            </w:r>
          </w:p>
        </w:tc>
        <w:tc>
          <w:tcPr>
            <w:tcW w:w="1340" w:type="dxa"/>
            <w:tcBorders>
              <w:top w:val="nil"/>
              <w:left w:val="nil"/>
              <w:bottom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8,844</w:t>
            </w:r>
          </w:p>
        </w:tc>
      </w:tr>
      <w:tr w:rsidR="00273C51" w:rsidRPr="007F7891" w:rsidTr="00273C51">
        <w:trPr>
          <w:trHeight w:val="300"/>
        </w:trPr>
        <w:tc>
          <w:tcPr>
            <w:tcW w:w="1858" w:type="dxa"/>
            <w:tcBorders>
              <w:top w:val="nil"/>
              <w:left w:val="nil"/>
              <w:right w:val="nil"/>
            </w:tcBorders>
            <w:shd w:val="clear" w:color="auto" w:fill="auto"/>
            <w:noWrap/>
            <w:vAlign w:val="center"/>
            <w:hideMark/>
          </w:tcPr>
          <w:p w:rsidR="00273C51" w:rsidRPr="007F7891" w:rsidRDefault="00273C51" w:rsidP="00401E16">
            <w:pPr>
              <w:rPr>
                <w:rFonts w:ascii="Calibri" w:hAnsi="Calibri"/>
                <w:color w:val="000000"/>
                <w:sz w:val="20"/>
                <w:szCs w:val="20"/>
                <w:lang w:val="en-GB" w:eastAsia="en-US"/>
              </w:rPr>
            </w:pPr>
            <w:r>
              <w:rPr>
                <w:rFonts w:ascii="Calibri" w:hAnsi="Calibri"/>
                <w:color w:val="000000"/>
                <w:sz w:val="20"/>
                <w:szCs w:val="20"/>
                <w:lang w:val="en-GB" w:eastAsia="en-US"/>
              </w:rPr>
              <w:t>Ti-LCQ</w:t>
            </w:r>
          </w:p>
        </w:tc>
        <w:tc>
          <w:tcPr>
            <w:tcW w:w="709" w:type="dxa"/>
            <w:tcBorders>
              <w:top w:val="nil"/>
              <w:left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42,85</w:t>
            </w:r>
          </w:p>
        </w:tc>
        <w:tc>
          <w:tcPr>
            <w:tcW w:w="1276" w:type="dxa"/>
            <w:tcBorders>
              <w:top w:val="nil"/>
              <w:left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153,5</w:t>
            </w:r>
          </w:p>
        </w:tc>
        <w:tc>
          <w:tcPr>
            <w:tcW w:w="1534" w:type="dxa"/>
            <w:tcBorders>
              <w:top w:val="nil"/>
              <w:left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22,1</w:t>
            </w:r>
          </w:p>
        </w:tc>
        <w:tc>
          <w:tcPr>
            <w:tcW w:w="1340" w:type="dxa"/>
            <w:tcBorders>
              <w:top w:val="nil"/>
              <w:left w:val="nil"/>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9,255</w:t>
            </w:r>
          </w:p>
        </w:tc>
      </w:tr>
      <w:tr w:rsidR="00273C51" w:rsidRPr="007F7891" w:rsidTr="00273C51">
        <w:trPr>
          <w:trHeight w:val="300"/>
        </w:trPr>
        <w:tc>
          <w:tcPr>
            <w:tcW w:w="1858" w:type="dxa"/>
            <w:tcBorders>
              <w:top w:val="nil"/>
              <w:left w:val="nil"/>
              <w:bottom w:val="single" w:sz="4" w:space="0" w:color="auto"/>
              <w:right w:val="nil"/>
            </w:tcBorders>
            <w:shd w:val="clear" w:color="auto" w:fill="auto"/>
            <w:noWrap/>
            <w:vAlign w:val="center"/>
            <w:hideMark/>
          </w:tcPr>
          <w:p w:rsidR="00273C51" w:rsidRPr="007F7891" w:rsidRDefault="00273C51" w:rsidP="00401E16">
            <w:pPr>
              <w:rPr>
                <w:rFonts w:ascii="Calibri" w:hAnsi="Calibri"/>
                <w:color w:val="000000"/>
                <w:sz w:val="20"/>
                <w:szCs w:val="20"/>
                <w:lang w:val="en-GB" w:eastAsia="en-US"/>
              </w:rPr>
            </w:pPr>
            <w:r>
              <w:rPr>
                <w:rFonts w:ascii="Calibri" w:hAnsi="Calibri"/>
                <w:color w:val="000000"/>
                <w:sz w:val="20"/>
                <w:szCs w:val="20"/>
                <w:lang w:val="en-GB" w:eastAsia="en-US"/>
              </w:rPr>
              <w:t>TiT</w:t>
            </w:r>
          </w:p>
        </w:tc>
        <w:tc>
          <w:tcPr>
            <w:tcW w:w="709" w:type="dxa"/>
            <w:tcBorders>
              <w:top w:val="nil"/>
              <w:left w:val="nil"/>
              <w:bottom w:val="single" w:sz="4" w:space="0" w:color="auto"/>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24,63</w:t>
            </w:r>
          </w:p>
        </w:tc>
        <w:tc>
          <w:tcPr>
            <w:tcW w:w="1276" w:type="dxa"/>
            <w:tcBorders>
              <w:top w:val="nil"/>
              <w:left w:val="nil"/>
              <w:bottom w:val="single" w:sz="4" w:space="0" w:color="auto"/>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146,6</w:t>
            </w:r>
          </w:p>
        </w:tc>
        <w:tc>
          <w:tcPr>
            <w:tcW w:w="1534" w:type="dxa"/>
            <w:tcBorders>
              <w:top w:val="nil"/>
              <w:left w:val="nil"/>
              <w:bottom w:val="single" w:sz="4" w:space="0" w:color="auto"/>
              <w:right w:val="nil"/>
            </w:tcBorders>
            <w:shd w:val="clear" w:color="auto" w:fill="auto"/>
            <w:noWrap/>
            <w:vAlign w:val="center"/>
            <w:hideMark/>
          </w:tcPr>
          <w:p w:rsidR="00273C51" w:rsidRPr="00273C51" w:rsidRDefault="007751E6"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w:t>
            </w:r>
          </w:p>
        </w:tc>
        <w:tc>
          <w:tcPr>
            <w:tcW w:w="1340" w:type="dxa"/>
            <w:tcBorders>
              <w:top w:val="nil"/>
              <w:left w:val="nil"/>
              <w:bottom w:val="single" w:sz="4" w:space="0" w:color="auto"/>
              <w:right w:val="nil"/>
            </w:tcBorders>
            <w:shd w:val="clear" w:color="auto" w:fill="auto"/>
            <w:noWrap/>
            <w:vAlign w:val="center"/>
            <w:hideMark/>
          </w:tcPr>
          <w:p w:rsidR="00273C51" w:rsidRPr="00273C51" w:rsidRDefault="00273C51" w:rsidP="00401E16">
            <w:pPr>
              <w:jc w:val="center"/>
              <w:rPr>
                <w:rFonts w:ascii="Calibri" w:hAnsi="Calibri"/>
                <w:color w:val="000000"/>
                <w:sz w:val="20"/>
                <w:szCs w:val="20"/>
                <w:lang w:val="en-GB" w:eastAsia="en-US"/>
              </w:rPr>
            </w:pPr>
            <w:r>
              <w:rPr>
                <w:rFonts w:ascii="Calibri" w:hAnsi="Calibri"/>
                <w:color w:val="000000"/>
                <w:sz w:val="20"/>
                <w:szCs w:val="20"/>
                <w:lang w:val="en-GB" w:eastAsia="en-US"/>
              </w:rPr>
              <w:t>34,000</w:t>
            </w:r>
          </w:p>
        </w:tc>
      </w:tr>
    </w:tbl>
    <w:p w:rsidR="00DC4DB5" w:rsidRDefault="00DC4DB5" w:rsidP="00DC4DB5">
      <w:pPr>
        <w:jc w:val="both"/>
        <w:rPr>
          <w:rFonts w:asciiTheme="minorHAnsi" w:hAnsiTheme="minorHAnsi"/>
          <w:sz w:val="20"/>
          <w:szCs w:val="20"/>
          <w:lang w:val="en-GB" w:eastAsia="en-US"/>
        </w:rPr>
      </w:pPr>
    </w:p>
    <w:p w:rsidR="00DC4DB5" w:rsidRDefault="00EC5718" w:rsidP="006C36F4">
      <w:pPr>
        <w:ind w:firstLine="426"/>
        <w:jc w:val="both"/>
        <w:rPr>
          <w:rFonts w:asciiTheme="minorHAnsi" w:hAnsiTheme="minorHAnsi"/>
          <w:sz w:val="20"/>
          <w:szCs w:val="20"/>
          <w:lang w:val="en-GB" w:eastAsia="en-US"/>
        </w:rPr>
      </w:pPr>
      <w:r>
        <w:rPr>
          <w:rFonts w:asciiTheme="minorHAnsi" w:hAnsiTheme="minorHAnsi"/>
          <w:sz w:val="20"/>
          <w:szCs w:val="20"/>
          <w:lang w:val="en-GB" w:eastAsia="en-US"/>
        </w:rPr>
        <w:t xml:space="preserve">The onset of the decomposition temperature was practically unaffected for all the standard bombs. The </w:t>
      </w:r>
      <w:r>
        <w:rPr>
          <w:rFonts w:asciiTheme="minorHAnsi" w:hAnsiTheme="minorHAnsi"/>
          <w:sz w:val="20"/>
          <w:szCs w:val="20"/>
          <w:lang w:val="en-GB"/>
        </w:rPr>
        <w:t xml:space="preserve">Φ-factor is so high, that a small difference of the thermal mass of the bombs does not influence the beginning of the onset of the decomposition temperature. The titanium tube bomb, used in the last case, has lower thermal mass and shows the decomposition temperature about </w:t>
      </w:r>
      <w:r w:rsidR="00F36C06">
        <w:rPr>
          <w:rFonts w:asciiTheme="minorHAnsi" w:hAnsiTheme="minorHAnsi"/>
          <w:sz w:val="20"/>
          <w:szCs w:val="20"/>
          <w:lang w:val="en-GB"/>
        </w:rPr>
        <w:t xml:space="preserve">8 </w:t>
      </w:r>
      <w:r w:rsidRPr="00273C51">
        <w:rPr>
          <w:rFonts w:asciiTheme="minorHAnsi" w:hAnsiTheme="minorHAnsi"/>
          <w:sz w:val="20"/>
          <w:szCs w:val="20"/>
          <w:lang w:val="en-GB"/>
        </w:rPr>
        <w:t>°C lower.</w:t>
      </w:r>
      <w:r>
        <w:rPr>
          <w:rFonts w:asciiTheme="minorHAnsi" w:hAnsiTheme="minorHAnsi"/>
          <w:sz w:val="20"/>
          <w:szCs w:val="20"/>
          <w:lang w:val="en-GB"/>
        </w:rPr>
        <w:t xml:space="preserve"> However a sharp peak of the temperature record </w:t>
      </w:r>
      <w:r w:rsidR="00D95B32">
        <w:rPr>
          <w:rFonts w:asciiTheme="minorHAnsi" w:hAnsiTheme="minorHAnsi"/>
          <w:sz w:val="20"/>
          <w:szCs w:val="20"/>
          <w:lang w:val="en-GB"/>
        </w:rPr>
        <w:t>was observed in this case (figure 3). That means the sample was ignited</w:t>
      </w:r>
      <w:r w:rsidR="00F36C06">
        <w:rPr>
          <w:rFonts w:asciiTheme="minorHAnsi" w:hAnsiTheme="minorHAnsi"/>
          <w:sz w:val="20"/>
          <w:szCs w:val="20"/>
          <w:lang w:val="en-GB"/>
        </w:rPr>
        <w:t xml:space="preserve"> during the decomposition and</w:t>
      </w:r>
      <w:r w:rsidR="00D95B32">
        <w:rPr>
          <w:rFonts w:asciiTheme="minorHAnsi" w:hAnsiTheme="minorHAnsi"/>
          <w:sz w:val="20"/>
          <w:szCs w:val="20"/>
          <w:lang w:val="en-GB"/>
        </w:rPr>
        <w:t xml:space="preserve"> exploded. </w:t>
      </w:r>
      <w:r w:rsidR="00D95B32" w:rsidRPr="007751E6">
        <w:rPr>
          <w:rFonts w:asciiTheme="minorHAnsi" w:hAnsiTheme="minorHAnsi"/>
          <w:sz w:val="20"/>
          <w:szCs w:val="20"/>
          <w:lang w:val="en-GB"/>
        </w:rPr>
        <w:t xml:space="preserve">Therefore it is impossible to measure the end of decomposition </w:t>
      </w:r>
      <w:r w:rsidR="006A1BB6" w:rsidRPr="007751E6">
        <w:rPr>
          <w:rFonts w:asciiTheme="minorHAnsi" w:hAnsiTheme="minorHAnsi"/>
          <w:sz w:val="20"/>
          <w:szCs w:val="20"/>
          <w:lang w:val="en-GB"/>
        </w:rPr>
        <w:t xml:space="preserve">correctly </w:t>
      </w:r>
      <w:r w:rsidR="00D95B32" w:rsidRPr="007751E6">
        <w:rPr>
          <w:rFonts w:asciiTheme="minorHAnsi" w:hAnsiTheme="minorHAnsi"/>
          <w:sz w:val="20"/>
          <w:szCs w:val="20"/>
          <w:lang w:val="en-GB"/>
        </w:rPr>
        <w:t>and the adiabatic temperature rise cannot be calculated in this case.</w:t>
      </w:r>
    </w:p>
    <w:p w:rsidR="00DC4DB5" w:rsidRDefault="00D95B32" w:rsidP="006C36F4">
      <w:pPr>
        <w:ind w:firstLine="426"/>
        <w:jc w:val="both"/>
        <w:rPr>
          <w:rFonts w:asciiTheme="minorHAnsi" w:hAnsiTheme="minorHAnsi"/>
          <w:sz w:val="20"/>
          <w:szCs w:val="20"/>
          <w:lang w:val="en-GB" w:eastAsia="en-US"/>
        </w:rPr>
      </w:pPr>
      <w:r>
        <w:rPr>
          <w:rFonts w:asciiTheme="minorHAnsi" w:hAnsiTheme="minorHAnsi"/>
          <w:sz w:val="20"/>
          <w:szCs w:val="20"/>
          <w:lang w:val="en-GB" w:eastAsia="en-US"/>
        </w:rPr>
        <w:t>The maximum pressure is similar for all three standard bombs, because the same amount of the sample is decomposed in the same volume. In the case of titanium tube bomb, the volum</w:t>
      </w:r>
      <w:r w:rsidR="00F36C06">
        <w:rPr>
          <w:rFonts w:asciiTheme="minorHAnsi" w:hAnsiTheme="minorHAnsi"/>
          <w:sz w:val="20"/>
          <w:szCs w:val="20"/>
          <w:lang w:val="en-GB" w:eastAsia="en-US"/>
        </w:rPr>
        <w:t>e is</w:t>
      </w:r>
      <w:r>
        <w:rPr>
          <w:rFonts w:asciiTheme="minorHAnsi" w:hAnsiTheme="minorHAnsi"/>
          <w:sz w:val="20"/>
          <w:szCs w:val="20"/>
          <w:lang w:val="en-GB" w:eastAsia="en-US"/>
        </w:rPr>
        <w:t xml:space="preserve"> obviously lower and the pressure </w:t>
      </w:r>
      <w:proofErr w:type="gramStart"/>
      <w:r>
        <w:rPr>
          <w:rFonts w:asciiTheme="minorHAnsi" w:hAnsiTheme="minorHAnsi"/>
          <w:sz w:val="20"/>
          <w:szCs w:val="20"/>
          <w:lang w:val="en-GB" w:eastAsia="en-US"/>
        </w:rPr>
        <w:t>rises</w:t>
      </w:r>
      <w:proofErr w:type="gramEnd"/>
      <w:r>
        <w:rPr>
          <w:rFonts w:asciiTheme="minorHAnsi" w:hAnsiTheme="minorHAnsi"/>
          <w:sz w:val="20"/>
          <w:szCs w:val="20"/>
          <w:lang w:val="en-GB" w:eastAsia="en-US"/>
        </w:rPr>
        <w:t xml:space="preserve"> up to 34 bar. </w:t>
      </w:r>
    </w:p>
    <w:p w:rsidR="00F25706" w:rsidRDefault="00F25706" w:rsidP="006C36F4">
      <w:pPr>
        <w:ind w:firstLine="426"/>
        <w:jc w:val="both"/>
        <w:rPr>
          <w:rFonts w:asciiTheme="minorHAnsi" w:hAnsiTheme="minorHAnsi"/>
          <w:sz w:val="20"/>
          <w:szCs w:val="20"/>
          <w:lang w:val="en-GB"/>
        </w:rPr>
      </w:pPr>
    </w:p>
    <w:p w:rsidR="00513DF6" w:rsidRPr="007F7891" w:rsidRDefault="00513DF6" w:rsidP="00E907A8">
      <w:pPr>
        <w:keepNext/>
        <w:rPr>
          <w:lang w:val="en-GB"/>
        </w:rPr>
      </w:pPr>
      <w:r w:rsidRPr="007F7891">
        <w:rPr>
          <w:noProof/>
          <w:lang w:val="en-US" w:eastAsia="en-US"/>
        </w:rPr>
        <w:lastRenderedPageBreak/>
        <w:drawing>
          <wp:inline distT="0" distB="0" distL="0" distR="0" wp14:anchorId="59BEA4ED" wp14:editId="01CA0EF0">
            <wp:extent cx="5641200" cy="4230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benzoylperoxidynewteplotamono.png"/>
                    <pic:cNvPicPr/>
                  </pic:nvPicPr>
                  <pic:blipFill>
                    <a:blip r:embed="rId9">
                      <a:extLst>
                        <a:ext uri="{28A0092B-C50C-407E-A947-70E740481C1C}">
                          <a14:useLocalDpi xmlns:a14="http://schemas.microsoft.com/office/drawing/2010/main" val="0"/>
                        </a:ext>
                      </a:extLst>
                    </a:blip>
                    <a:stretch>
                      <a:fillRect/>
                    </a:stretch>
                  </pic:blipFill>
                  <pic:spPr>
                    <a:xfrm>
                      <a:off x="0" y="0"/>
                      <a:ext cx="5641200" cy="4230000"/>
                    </a:xfrm>
                    <a:prstGeom prst="rect">
                      <a:avLst/>
                    </a:prstGeom>
                  </pic:spPr>
                </pic:pic>
              </a:graphicData>
            </a:graphic>
          </wp:inline>
        </w:drawing>
      </w:r>
      <w:proofErr w:type="gramStart"/>
      <w:r w:rsidR="00B63825" w:rsidRPr="007F7891">
        <w:rPr>
          <w:rFonts w:asciiTheme="minorHAnsi" w:hAnsiTheme="minorHAnsi"/>
          <w:sz w:val="20"/>
          <w:szCs w:val="20"/>
          <w:lang w:val="en-GB"/>
        </w:rPr>
        <w:t xml:space="preserve">Figure </w:t>
      </w:r>
      <w:r w:rsidR="00B63825" w:rsidRPr="007F7891">
        <w:rPr>
          <w:rFonts w:asciiTheme="minorHAnsi" w:hAnsiTheme="minorHAnsi"/>
          <w:sz w:val="20"/>
          <w:szCs w:val="20"/>
          <w:lang w:val="en-GB"/>
        </w:rPr>
        <w:fldChar w:fldCharType="begin"/>
      </w:r>
      <w:r w:rsidR="00B63825" w:rsidRPr="007F7891">
        <w:rPr>
          <w:rFonts w:asciiTheme="minorHAnsi" w:hAnsiTheme="minorHAnsi"/>
          <w:sz w:val="20"/>
          <w:szCs w:val="20"/>
          <w:lang w:val="en-GB"/>
        </w:rPr>
        <w:instrText xml:space="preserve"> SEQ Figure \* ARABIC </w:instrText>
      </w:r>
      <w:r w:rsidR="00B63825" w:rsidRPr="007F7891">
        <w:rPr>
          <w:rFonts w:asciiTheme="minorHAnsi" w:hAnsiTheme="minorHAnsi"/>
          <w:sz w:val="20"/>
          <w:szCs w:val="20"/>
          <w:lang w:val="en-GB"/>
        </w:rPr>
        <w:fldChar w:fldCharType="separate"/>
      </w:r>
      <w:r w:rsidR="00E907A8" w:rsidRPr="007F7891">
        <w:rPr>
          <w:rFonts w:asciiTheme="minorHAnsi" w:hAnsiTheme="minorHAnsi"/>
          <w:noProof/>
          <w:sz w:val="20"/>
          <w:szCs w:val="20"/>
          <w:lang w:val="en-GB"/>
        </w:rPr>
        <w:t>1</w:t>
      </w:r>
      <w:r w:rsidR="00B63825" w:rsidRPr="007F7891">
        <w:rPr>
          <w:rFonts w:asciiTheme="minorHAnsi" w:hAnsiTheme="minorHAnsi"/>
          <w:sz w:val="20"/>
          <w:szCs w:val="20"/>
          <w:lang w:val="en-GB"/>
        </w:rPr>
        <w:fldChar w:fldCharType="end"/>
      </w:r>
      <w:r w:rsidR="005277B3" w:rsidRPr="007F7891">
        <w:rPr>
          <w:rFonts w:asciiTheme="minorHAnsi" w:hAnsiTheme="minorHAnsi"/>
          <w:sz w:val="20"/>
          <w:szCs w:val="20"/>
          <w:lang w:val="en-GB"/>
        </w:rPr>
        <w:t>.</w:t>
      </w:r>
      <w:proofErr w:type="gramEnd"/>
      <w:r w:rsidR="008E7725" w:rsidRPr="007F7891">
        <w:rPr>
          <w:rFonts w:asciiTheme="minorHAnsi" w:hAnsiTheme="minorHAnsi"/>
          <w:sz w:val="20"/>
          <w:szCs w:val="20"/>
          <w:lang w:val="en-GB"/>
        </w:rPr>
        <w:t xml:space="preserve"> </w:t>
      </w:r>
      <w:proofErr w:type="gramStart"/>
      <w:r w:rsidR="008E7725" w:rsidRPr="007F7891">
        <w:rPr>
          <w:rFonts w:asciiTheme="minorHAnsi" w:hAnsiTheme="minorHAnsi"/>
          <w:sz w:val="20"/>
          <w:szCs w:val="20"/>
          <w:lang w:val="en-GB"/>
        </w:rPr>
        <w:t xml:space="preserve">Decomposition of DBP </w:t>
      </w:r>
      <w:r w:rsidR="00606147" w:rsidRPr="007F7891">
        <w:rPr>
          <w:rFonts w:asciiTheme="minorHAnsi" w:hAnsiTheme="minorHAnsi"/>
          <w:sz w:val="20"/>
          <w:szCs w:val="20"/>
          <w:lang w:val="en-GB"/>
        </w:rPr>
        <w:t>– tem</w:t>
      </w:r>
      <w:r w:rsidR="00C0463F" w:rsidRPr="007F7891">
        <w:rPr>
          <w:rFonts w:asciiTheme="minorHAnsi" w:hAnsiTheme="minorHAnsi"/>
          <w:sz w:val="20"/>
          <w:szCs w:val="20"/>
          <w:lang w:val="en-GB"/>
        </w:rPr>
        <w:t>perature record.</w:t>
      </w:r>
      <w:proofErr w:type="gramEnd"/>
      <w:r w:rsidR="00606147" w:rsidRPr="007F7891">
        <w:rPr>
          <w:rFonts w:asciiTheme="minorHAnsi" w:hAnsiTheme="minorHAnsi"/>
          <w:noProof/>
          <w:sz w:val="20"/>
          <w:szCs w:val="20"/>
          <w:lang w:val="en-US" w:eastAsia="en-US"/>
        </w:rPr>
        <w:drawing>
          <wp:inline distT="0" distB="0" distL="0" distR="0" wp14:anchorId="3FABC3D0" wp14:editId="3B83C600">
            <wp:extent cx="5698800" cy="4273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benzoylperoxidynewtlakmono.png"/>
                    <pic:cNvPicPr/>
                  </pic:nvPicPr>
                  <pic:blipFill>
                    <a:blip r:embed="rId10">
                      <a:extLst>
                        <a:ext uri="{28A0092B-C50C-407E-A947-70E740481C1C}">
                          <a14:useLocalDpi xmlns:a14="http://schemas.microsoft.com/office/drawing/2010/main" val="0"/>
                        </a:ext>
                      </a:extLst>
                    </a:blip>
                    <a:stretch>
                      <a:fillRect/>
                    </a:stretch>
                  </pic:blipFill>
                  <pic:spPr>
                    <a:xfrm>
                      <a:off x="0" y="0"/>
                      <a:ext cx="5698800" cy="4273200"/>
                    </a:xfrm>
                    <a:prstGeom prst="rect">
                      <a:avLst/>
                    </a:prstGeom>
                  </pic:spPr>
                </pic:pic>
              </a:graphicData>
            </a:graphic>
          </wp:inline>
        </w:drawing>
      </w:r>
      <w:r w:rsidR="00606147" w:rsidRPr="007F7891">
        <w:rPr>
          <w:rFonts w:asciiTheme="minorHAnsi" w:hAnsiTheme="minorHAnsi"/>
          <w:b/>
          <w:sz w:val="20"/>
          <w:szCs w:val="20"/>
          <w:lang w:val="en-GB"/>
        </w:rPr>
        <w:t xml:space="preserve"> </w:t>
      </w:r>
      <w:proofErr w:type="gramStart"/>
      <w:r w:rsidR="00606147" w:rsidRPr="007F7891">
        <w:rPr>
          <w:rFonts w:asciiTheme="minorHAnsi" w:hAnsiTheme="minorHAnsi"/>
          <w:sz w:val="20"/>
          <w:szCs w:val="20"/>
          <w:lang w:val="en-GB"/>
        </w:rPr>
        <w:t xml:space="preserve">Figure </w:t>
      </w:r>
      <w:r w:rsidR="00606147" w:rsidRPr="007F7891">
        <w:rPr>
          <w:rFonts w:asciiTheme="minorHAnsi" w:hAnsiTheme="minorHAnsi"/>
          <w:sz w:val="20"/>
          <w:szCs w:val="20"/>
          <w:lang w:val="en-GB"/>
        </w:rPr>
        <w:fldChar w:fldCharType="begin"/>
      </w:r>
      <w:r w:rsidR="00606147" w:rsidRPr="007F7891">
        <w:rPr>
          <w:rFonts w:asciiTheme="minorHAnsi" w:hAnsiTheme="minorHAnsi"/>
          <w:sz w:val="20"/>
          <w:szCs w:val="20"/>
          <w:lang w:val="en-GB"/>
        </w:rPr>
        <w:instrText xml:space="preserve"> SEQ Figure \* ARABIC </w:instrText>
      </w:r>
      <w:r w:rsidR="00606147" w:rsidRPr="007F7891">
        <w:rPr>
          <w:rFonts w:asciiTheme="minorHAnsi" w:hAnsiTheme="minorHAnsi"/>
          <w:sz w:val="20"/>
          <w:szCs w:val="20"/>
          <w:lang w:val="en-GB"/>
        </w:rPr>
        <w:fldChar w:fldCharType="separate"/>
      </w:r>
      <w:r w:rsidR="00E907A8" w:rsidRPr="007F7891">
        <w:rPr>
          <w:rFonts w:asciiTheme="minorHAnsi" w:hAnsiTheme="minorHAnsi"/>
          <w:noProof/>
          <w:sz w:val="20"/>
          <w:szCs w:val="20"/>
          <w:lang w:val="en-GB"/>
        </w:rPr>
        <w:t>2</w:t>
      </w:r>
      <w:r w:rsidR="00606147" w:rsidRPr="007F7891">
        <w:rPr>
          <w:rFonts w:asciiTheme="minorHAnsi" w:hAnsiTheme="minorHAnsi"/>
          <w:sz w:val="20"/>
          <w:szCs w:val="20"/>
          <w:lang w:val="en-GB"/>
        </w:rPr>
        <w:fldChar w:fldCharType="end"/>
      </w:r>
      <w:r w:rsidR="00606147" w:rsidRPr="007F7891">
        <w:rPr>
          <w:rFonts w:asciiTheme="minorHAnsi" w:hAnsiTheme="minorHAnsi"/>
          <w:sz w:val="20"/>
          <w:szCs w:val="20"/>
          <w:lang w:val="en-GB"/>
        </w:rPr>
        <w:t>.</w:t>
      </w:r>
      <w:proofErr w:type="gramEnd"/>
      <w:r w:rsidR="00606147" w:rsidRPr="007F7891">
        <w:rPr>
          <w:rFonts w:asciiTheme="minorHAnsi" w:hAnsiTheme="minorHAnsi"/>
          <w:sz w:val="20"/>
          <w:szCs w:val="20"/>
          <w:lang w:val="en-GB"/>
        </w:rPr>
        <w:t xml:space="preserve"> Decomposition of DBP – pressure record.</w:t>
      </w:r>
      <w:r w:rsidRPr="007F7891">
        <w:rPr>
          <w:rFonts w:asciiTheme="minorHAnsi" w:hAnsiTheme="minorHAnsi"/>
          <w:sz w:val="20"/>
          <w:szCs w:val="20"/>
          <w:lang w:val="en-GB" w:eastAsia="en-US"/>
        </w:rPr>
        <w:br w:type="page"/>
      </w:r>
    </w:p>
    <w:p w:rsidR="005204B8" w:rsidRPr="007F7891" w:rsidRDefault="00E907A8" w:rsidP="00E907A8">
      <w:pPr>
        <w:keepNext/>
        <w:rPr>
          <w:lang w:val="en-GB"/>
        </w:rPr>
      </w:pPr>
      <w:r w:rsidRPr="007F7891">
        <w:rPr>
          <w:rFonts w:asciiTheme="minorHAnsi" w:hAnsiTheme="minorHAnsi"/>
          <w:noProof/>
          <w:sz w:val="20"/>
          <w:szCs w:val="20"/>
          <w:lang w:val="en-US" w:eastAsia="en-US"/>
        </w:rPr>
        <w:lastRenderedPageBreak/>
        <w:drawing>
          <wp:inline distT="0" distB="0" distL="0" distR="0" wp14:anchorId="494FCAC3" wp14:editId="15226FBD">
            <wp:extent cx="5698800" cy="4273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Nbombytlakmono.png"/>
                    <pic:cNvPicPr/>
                  </pic:nvPicPr>
                  <pic:blipFill>
                    <a:blip r:embed="rId11">
                      <a:extLst>
                        <a:ext uri="{28A0092B-C50C-407E-A947-70E740481C1C}">
                          <a14:useLocalDpi xmlns:a14="http://schemas.microsoft.com/office/drawing/2010/main" val="0"/>
                        </a:ext>
                      </a:extLst>
                    </a:blip>
                    <a:stretch>
                      <a:fillRect/>
                    </a:stretch>
                  </pic:blipFill>
                  <pic:spPr>
                    <a:xfrm>
                      <a:off x="0" y="0"/>
                      <a:ext cx="5698800" cy="4273200"/>
                    </a:xfrm>
                    <a:prstGeom prst="rect">
                      <a:avLst/>
                    </a:prstGeom>
                  </pic:spPr>
                </pic:pic>
              </a:graphicData>
            </a:graphic>
          </wp:inline>
        </w:drawing>
      </w:r>
      <w:r w:rsidRPr="007F7891">
        <w:rPr>
          <w:noProof/>
          <w:lang w:val="en-US" w:eastAsia="en-US"/>
        </w:rPr>
        <mc:AlternateContent>
          <mc:Choice Requires="wps">
            <w:drawing>
              <wp:anchor distT="0" distB="0" distL="114300" distR="114300" simplePos="0" relativeHeight="251660288" behindDoc="0" locked="0" layoutInCell="1" allowOverlap="1" wp14:anchorId="6525516B" wp14:editId="63B152B5">
                <wp:simplePos x="0" y="0"/>
                <wp:positionH relativeFrom="column">
                  <wp:posOffset>3810</wp:posOffset>
                </wp:positionH>
                <wp:positionV relativeFrom="paragraph">
                  <wp:posOffset>4288790</wp:posOffset>
                </wp:positionV>
                <wp:extent cx="5640705" cy="11684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640705" cy="116840"/>
                        </a:xfrm>
                        <a:prstGeom prst="rect">
                          <a:avLst/>
                        </a:prstGeom>
                        <a:solidFill>
                          <a:prstClr val="white"/>
                        </a:solidFill>
                        <a:ln>
                          <a:noFill/>
                        </a:ln>
                        <a:effectLst/>
                      </wps:spPr>
                      <wps:txbx>
                        <w:txbxContent>
                          <w:p w:rsidR="00E907A8" w:rsidRPr="0091260A" w:rsidRDefault="00E907A8" w:rsidP="00E907A8">
                            <w:pPr>
                              <w:pStyle w:val="Titulek"/>
                              <w:rPr>
                                <w:rFonts w:asciiTheme="minorHAnsi" w:hAnsiTheme="minorHAnsi"/>
                                <w:b w:val="0"/>
                                <w:bCs w:val="0"/>
                                <w:color w:val="auto"/>
                                <w:sz w:val="20"/>
                                <w:szCs w:val="20"/>
                              </w:rPr>
                            </w:pPr>
                            <w:r w:rsidRPr="0091260A">
                              <w:rPr>
                                <w:rFonts w:asciiTheme="minorHAnsi" w:hAnsiTheme="minorHAnsi"/>
                                <w:b w:val="0"/>
                                <w:bCs w:val="0"/>
                                <w:color w:val="auto"/>
                                <w:sz w:val="20"/>
                                <w:szCs w:val="20"/>
                              </w:rPr>
                              <w:t xml:space="preserve">Figure </w:t>
                            </w:r>
                            <w:r w:rsidRPr="0091260A">
                              <w:rPr>
                                <w:rFonts w:asciiTheme="minorHAnsi" w:hAnsiTheme="minorHAnsi"/>
                                <w:b w:val="0"/>
                                <w:bCs w:val="0"/>
                                <w:color w:val="auto"/>
                                <w:sz w:val="20"/>
                                <w:szCs w:val="20"/>
                              </w:rPr>
                              <w:fldChar w:fldCharType="begin"/>
                            </w:r>
                            <w:r w:rsidRPr="0091260A">
                              <w:rPr>
                                <w:rFonts w:asciiTheme="minorHAnsi" w:hAnsiTheme="minorHAnsi"/>
                                <w:b w:val="0"/>
                                <w:bCs w:val="0"/>
                                <w:color w:val="auto"/>
                                <w:sz w:val="20"/>
                                <w:szCs w:val="20"/>
                              </w:rPr>
                              <w:instrText xml:space="preserve"> SEQ Figure \* ARABIC </w:instrText>
                            </w:r>
                            <w:r w:rsidRPr="0091260A">
                              <w:rPr>
                                <w:rFonts w:asciiTheme="minorHAnsi" w:hAnsiTheme="minorHAnsi"/>
                                <w:b w:val="0"/>
                                <w:bCs w:val="0"/>
                                <w:color w:val="auto"/>
                                <w:sz w:val="20"/>
                                <w:szCs w:val="20"/>
                              </w:rPr>
                              <w:fldChar w:fldCharType="separate"/>
                            </w:r>
                            <w:r w:rsidRPr="0091260A">
                              <w:rPr>
                                <w:rFonts w:asciiTheme="minorHAnsi" w:hAnsiTheme="minorHAnsi"/>
                                <w:b w:val="0"/>
                                <w:bCs w:val="0"/>
                                <w:color w:val="auto"/>
                                <w:sz w:val="20"/>
                                <w:szCs w:val="20"/>
                              </w:rPr>
                              <w:t>3</w:t>
                            </w:r>
                            <w:r w:rsidRPr="0091260A">
                              <w:rPr>
                                <w:rFonts w:asciiTheme="minorHAnsi" w:hAnsiTheme="minorHAnsi"/>
                                <w:b w:val="0"/>
                                <w:bCs w:val="0"/>
                                <w:color w:val="auto"/>
                                <w:sz w:val="20"/>
                                <w:szCs w:val="20"/>
                              </w:rPr>
                              <w:fldChar w:fldCharType="end"/>
                            </w:r>
                            <w:r w:rsidR="00151E10" w:rsidRPr="0091260A">
                              <w:rPr>
                                <w:rFonts w:asciiTheme="minorHAnsi" w:hAnsiTheme="minorHAnsi"/>
                                <w:b w:val="0"/>
                                <w:bCs w:val="0"/>
                                <w:color w:val="auto"/>
                                <w:sz w:val="20"/>
                                <w:szCs w:val="20"/>
                              </w:rPr>
                              <w:t>. PETN dec</w:t>
                            </w:r>
                            <w:r w:rsidR="0091260A">
                              <w:rPr>
                                <w:rFonts w:asciiTheme="minorHAnsi" w:hAnsiTheme="minorHAnsi"/>
                                <w:b w:val="0"/>
                                <w:bCs w:val="0"/>
                                <w:color w:val="auto"/>
                                <w:sz w:val="20"/>
                                <w:szCs w:val="20"/>
                              </w:rPr>
                              <w:t>omposition</w:t>
                            </w:r>
                            <w:r w:rsidR="0091260A" w:rsidRPr="0091260A">
                              <w:rPr>
                                <w:rFonts w:asciiTheme="minorHAnsi" w:hAnsiTheme="minorHAnsi"/>
                                <w:b w:val="0"/>
                                <w:bCs w:val="0"/>
                                <w:color w:val="auto"/>
                                <w:sz w:val="20"/>
                                <w:szCs w:val="20"/>
                              </w:rPr>
                              <w:t xml:space="preserve"> </w:t>
                            </w:r>
                            <w:r w:rsidR="00151E10" w:rsidRPr="0091260A">
                              <w:rPr>
                                <w:rFonts w:asciiTheme="minorHAnsi" w:hAnsiTheme="minorHAnsi"/>
                                <w:b w:val="0"/>
                                <w:bCs w:val="0"/>
                                <w:color w:val="auto"/>
                                <w:sz w:val="20"/>
                                <w:szCs w:val="20"/>
                              </w:rPr>
                              <w:t>– temperature record.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margin-left:.3pt;margin-top:337.7pt;width:444.15pt;height:9.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" stroked="f">
                <v:textbox inset="0,0,0,0">
                  <w:txbxContent>
                    <w:p w:rsidR="00E907A8" w:rsidRPr="0091260A" w:rsidRDefault="00E907A8" w:rsidP="00E907A8">
                      <w:pPr>
                        <w:pStyle w:val="Titulek"/>
                        <w:rPr>
                          <w:rFonts w:asciiTheme="minorHAnsi" w:hAnsiTheme="minorHAnsi"/>
                          <w:b w:val="0"/>
                          <w:bCs w:val="0"/>
                          <w:color w:val="auto"/>
                          <w:sz w:val="20"/>
                          <w:szCs w:val="20"/>
                        </w:rPr>
                      </w:pPr>
                      <w:r w:rsidRPr="0091260A">
                        <w:rPr>
                          <w:rFonts w:asciiTheme="minorHAnsi" w:hAnsiTheme="minorHAnsi"/>
                          <w:b w:val="0"/>
                          <w:bCs w:val="0"/>
                          <w:color w:val="auto"/>
                          <w:sz w:val="20"/>
                          <w:szCs w:val="20"/>
                        </w:rPr>
                        <w:t xml:space="preserve">Figure </w:t>
                      </w:r>
                      <w:r w:rsidRPr="0091260A">
                        <w:rPr>
                          <w:rFonts w:asciiTheme="minorHAnsi" w:hAnsiTheme="minorHAnsi"/>
                          <w:b w:val="0"/>
                          <w:bCs w:val="0"/>
                          <w:color w:val="auto"/>
                          <w:sz w:val="20"/>
                          <w:szCs w:val="20"/>
                        </w:rPr>
                        <w:fldChar w:fldCharType="begin"/>
                      </w:r>
                      <w:r w:rsidRPr="0091260A">
                        <w:rPr>
                          <w:rFonts w:asciiTheme="minorHAnsi" w:hAnsiTheme="minorHAnsi"/>
                          <w:b w:val="0"/>
                          <w:bCs w:val="0"/>
                          <w:color w:val="auto"/>
                          <w:sz w:val="20"/>
                          <w:szCs w:val="20"/>
                        </w:rPr>
                        <w:instrText xml:space="preserve"> SEQ Figure \* ARABIC </w:instrText>
                      </w:r>
                      <w:r w:rsidRPr="0091260A">
                        <w:rPr>
                          <w:rFonts w:asciiTheme="minorHAnsi" w:hAnsiTheme="minorHAnsi"/>
                          <w:b w:val="0"/>
                          <w:bCs w:val="0"/>
                          <w:color w:val="auto"/>
                          <w:sz w:val="20"/>
                          <w:szCs w:val="20"/>
                        </w:rPr>
                        <w:fldChar w:fldCharType="separate"/>
                      </w:r>
                      <w:r w:rsidRPr="0091260A">
                        <w:rPr>
                          <w:rFonts w:asciiTheme="minorHAnsi" w:hAnsiTheme="minorHAnsi"/>
                          <w:b w:val="0"/>
                          <w:bCs w:val="0"/>
                          <w:color w:val="auto"/>
                          <w:sz w:val="20"/>
                          <w:szCs w:val="20"/>
                        </w:rPr>
                        <w:t>3</w:t>
                      </w:r>
                      <w:r w:rsidRPr="0091260A">
                        <w:rPr>
                          <w:rFonts w:asciiTheme="minorHAnsi" w:hAnsiTheme="minorHAnsi"/>
                          <w:b w:val="0"/>
                          <w:bCs w:val="0"/>
                          <w:color w:val="auto"/>
                          <w:sz w:val="20"/>
                          <w:szCs w:val="20"/>
                        </w:rPr>
                        <w:fldChar w:fldCharType="end"/>
                      </w:r>
                      <w:r w:rsidR="00151E10" w:rsidRPr="0091260A">
                        <w:rPr>
                          <w:rFonts w:asciiTheme="minorHAnsi" w:hAnsiTheme="minorHAnsi"/>
                          <w:b w:val="0"/>
                          <w:bCs w:val="0"/>
                          <w:color w:val="auto"/>
                          <w:sz w:val="20"/>
                          <w:szCs w:val="20"/>
                        </w:rPr>
                        <w:t>. PETN dec</w:t>
                      </w:r>
                      <w:r w:rsidR="0091260A">
                        <w:rPr>
                          <w:rFonts w:asciiTheme="minorHAnsi" w:hAnsiTheme="minorHAnsi"/>
                          <w:b w:val="0"/>
                          <w:bCs w:val="0"/>
                          <w:color w:val="auto"/>
                          <w:sz w:val="20"/>
                          <w:szCs w:val="20"/>
                        </w:rPr>
                        <w:t>omposition</w:t>
                      </w:r>
                      <w:r w:rsidR="0091260A" w:rsidRPr="0091260A">
                        <w:rPr>
                          <w:rFonts w:asciiTheme="minorHAnsi" w:hAnsiTheme="minorHAnsi"/>
                          <w:b w:val="0"/>
                          <w:bCs w:val="0"/>
                          <w:color w:val="auto"/>
                          <w:sz w:val="20"/>
                          <w:szCs w:val="20"/>
                        </w:rPr>
                        <w:t xml:space="preserve"> </w:t>
                      </w:r>
                      <w:r w:rsidR="00151E10" w:rsidRPr="0091260A">
                        <w:rPr>
                          <w:rFonts w:asciiTheme="minorHAnsi" w:hAnsiTheme="minorHAnsi"/>
                          <w:b w:val="0"/>
                          <w:bCs w:val="0"/>
                          <w:color w:val="auto"/>
                          <w:sz w:val="20"/>
                          <w:szCs w:val="20"/>
                        </w:rPr>
                        <w:t>– temperature record.</w:t>
                      </w:r>
                    </w:p>
                  </w:txbxContent>
                </v:textbox>
                <w10:wrap type="square"/>
              </v:shape>
            </w:pict>
          </mc:Fallback>
        </mc:AlternateContent>
      </w:r>
      <w:r w:rsidR="003D1D38" w:rsidRPr="007F7891">
        <w:rPr>
          <w:rFonts w:asciiTheme="minorHAnsi" w:hAnsiTheme="minorHAnsi"/>
          <w:noProof/>
          <w:sz w:val="20"/>
          <w:szCs w:val="20"/>
          <w:lang w:val="en-US" w:eastAsia="en-US"/>
        </w:rPr>
        <w:drawing>
          <wp:anchor distT="0" distB="0" distL="114300" distR="114300" simplePos="0" relativeHeight="251658240" behindDoc="0" locked="0" layoutInCell="1" allowOverlap="1" wp14:anchorId="24BEC59E" wp14:editId="45B00C66">
            <wp:simplePos x="1350010" y="1052195"/>
            <wp:positionH relativeFrom="margin">
              <wp:align>left</wp:align>
            </wp:positionH>
            <wp:positionV relativeFrom="margin">
              <wp:align>top</wp:align>
            </wp:positionV>
            <wp:extent cx="5641200" cy="4230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Nbombymono.png"/>
                    <pic:cNvPicPr/>
                  </pic:nvPicPr>
                  <pic:blipFill>
                    <a:blip r:embed="rId12">
                      <a:extLst>
                        <a:ext uri="{28A0092B-C50C-407E-A947-70E740481C1C}">
                          <a14:useLocalDpi xmlns:a14="http://schemas.microsoft.com/office/drawing/2010/main" val="0"/>
                        </a:ext>
                      </a:extLst>
                    </a:blip>
                    <a:stretch>
                      <a:fillRect/>
                    </a:stretch>
                  </pic:blipFill>
                  <pic:spPr>
                    <a:xfrm>
                      <a:off x="0" y="0"/>
                      <a:ext cx="5641200" cy="4230000"/>
                    </a:xfrm>
                    <a:prstGeom prst="rect">
                      <a:avLst/>
                    </a:prstGeom>
                  </pic:spPr>
                </pic:pic>
              </a:graphicData>
            </a:graphic>
            <wp14:sizeRelH relativeFrom="margin">
              <wp14:pctWidth>0</wp14:pctWidth>
            </wp14:sizeRelH>
            <wp14:sizeRelV relativeFrom="margin">
              <wp14:pctHeight>0</wp14:pctHeight>
            </wp14:sizeRelV>
          </wp:anchor>
        </w:drawing>
      </w:r>
    </w:p>
    <w:p w:rsidR="007D7431" w:rsidRPr="007F7891" w:rsidRDefault="00E907A8" w:rsidP="00BC28A0">
      <w:pPr>
        <w:pStyle w:val="Titulek"/>
        <w:rPr>
          <w:rFonts w:asciiTheme="minorHAnsi" w:hAnsiTheme="minorHAnsi"/>
          <w:b w:val="0"/>
          <w:bCs w:val="0"/>
          <w:color w:val="auto"/>
          <w:sz w:val="20"/>
          <w:szCs w:val="20"/>
          <w:lang w:val="en-GB"/>
        </w:rPr>
      </w:pPr>
      <w:proofErr w:type="gramStart"/>
      <w:r w:rsidRPr="007F7891">
        <w:rPr>
          <w:rFonts w:asciiTheme="minorHAnsi" w:hAnsiTheme="minorHAnsi"/>
          <w:b w:val="0"/>
          <w:bCs w:val="0"/>
          <w:color w:val="auto"/>
          <w:sz w:val="20"/>
          <w:szCs w:val="20"/>
          <w:lang w:val="en-GB"/>
        </w:rPr>
        <w:t xml:space="preserve">Figure </w:t>
      </w:r>
      <w:r w:rsidRPr="007F7891">
        <w:rPr>
          <w:rFonts w:asciiTheme="minorHAnsi" w:hAnsiTheme="minorHAnsi"/>
          <w:b w:val="0"/>
          <w:bCs w:val="0"/>
          <w:color w:val="auto"/>
          <w:sz w:val="20"/>
          <w:szCs w:val="20"/>
          <w:lang w:val="en-GB"/>
        </w:rPr>
        <w:fldChar w:fldCharType="begin"/>
      </w:r>
      <w:r w:rsidRPr="007F7891">
        <w:rPr>
          <w:rFonts w:asciiTheme="minorHAnsi" w:hAnsiTheme="minorHAnsi"/>
          <w:b w:val="0"/>
          <w:bCs w:val="0"/>
          <w:color w:val="auto"/>
          <w:sz w:val="20"/>
          <w:szCs w:val="20"/>
          <w:lang w:val="en-GB"/>
        </w:rPr>
        <w:instrText xml:space="preserve"> SEQ Figure \* ARABIC </w:instrText>
      </w:r>
      <w:r w:rsidRPr="007F7891">
        <w:rPr>
          <w:rFonts w:asciiTheme="minorHAnsi" w:hAnsiTheme="minorHAnsi"/>
          <w:b w:val="0"/>
          <w:bCs w:val="0"/>
          <w:color w:val="auto"/>
          <w:sz w:val="20"/>
          <w:szCs w:val="20"/>
          <w:lang w:val="en-GB"/>
        </w:rPr>
        <w:fldChar w:fldCharType="separate"/>
      </w:r>
      <w:r w:rsidRPr="007F7891">
        <w:rPr>
          <w:rFonts w:asciiTheme="minorHAnsi" w:hAnsiTheme="minorHAnsi"/>
          <w:b w:val="0"/>
          <w:bCs w:val="0"/>
          <w:color w:val="auto"/>
          <w:sz w:val="20"/>
          <w:szCs w:val="20"/>
          <w:lang w:val="en-GB"/>
        </w:rPr>
        <w:t>4</w:t>
      </w:r>
      <w:r w:rsidRPr="007F7891">
        <w:rPr>
          <w:rFonts w:asciiTheme="minorHAnsi" w:hAnsiTheme="minorHAnsi"/>
          <w:b w:val="0"/>
          <w:bCs w:val="0"/>
          <w:color w:val="auto"/>
          <w:sz w:val="20"/>
          <w:szCs w:val="20"/>
          <w:lang w:val="en-GB"/>
        </w:rPr>
        <w:fldChar w:fldCharType="end"/>
      </w:r>
      <w:r w:rsidR="0091260A" w:rsidRPr="007F7891">
        <w:rPr>
          <w:rFonts w:asciiTheme="minorHAnsi" w:hAnsiTheme="minorHAnsi"/>
          <w:b w:val="0"/>
          <w:bCs w:val="0"/>
          <w:color w:val="auto"/>
          <w:sz w:val="20"/>
          <w:szCs w:val="20"/>
          <w:lang w:val="en-GB"/>
        </w:rPr>
        <w:t>.</w:t>
      </w:r>
      <w:proofErr w:type="gramEnd"/>
      <w:r w:rsidR="0091260A" w:rsidRPr="007F7891">
        <w:rPr>
          <w:rFonts w:asciiTheme="minorHAnsi" w:hAnsiTheme="minorHAnsi"/>
          <w:b w:val="0"/>
          <w:bCs w:val="0"/>
          <w:color w:val="auto"/>
          <w:sz w:val="20"/>
          <w:szCs w:val="20"/>
          <w:lang w:val="en-GB"/>
        </w:rPr>
        <w:t xml:space="preserve"> PETN </w:t>
      </w:r>
      <w:proofErr w:type="gramStart"/>
      <w:r w:rsidR="0091260A" w:rsidRPr="007F7891">
        <w:rPr>
          <w:rFonts w:asciiTheme="minorHAnsi" w:hAnsiTheme="minorHAnsi"/>
          <w:b w:val="0"/>
          <w:bCs w:val="0"/>
          <w:color w:val="auto"/>
          <w:sz w:val="20"/>
          <w:szCs w:val="20"/>
          <w:lang w:val="en-GB"/>
        </w:rPr>
        <w:t>decomposition  –</w:t>
      </w:r>
      <w:proofErr w:type="gramEnd"/>
      <w:r w:rsidR="0091260A" w:rsidRPr="007F7891">
        <w:rPr>
          <w:rFonts w:asciiTheme="minorHAnsi" w:hAnsiTheme="minorHAnsi"/>
          <w:b w:val="0"/>
          <w:bCs w:val="0"/>
          <w:color w:val="auto"/>
          <w:sz w:val="20"/>
          <w:szCs w:val="20"/>
          <w:lang w:val="en-GB"/>
        </w:rPr>
        <w:t xml:space="preserve"> temperature record.</w:t>
      </w:r>
    </w:p>
    <w:p w:rsidR="00400274" w:rsidRPr="007F7891" w:rsidRDefault="00400274" w:rsidP="00400274">
      <w:pPr>
        <w:pStyle w:val="Nadpis2"/>
        <w:rPr>
          <w:rFonts w:asciiTheme="minorHAnsi" w:hAnsiTheme="minorHAnsi"/>
          <w:sz w:val="24"/>
          <w:szCs w:val="24"/>
        </w:rPr>
      </w:pPr>
      <w:r w:rsidRPr="007F7891">
        <w:rPr>
          <w:rFonts w:asciiTheme="minorHAnsi" w:hAnsiTheme="minorHAnsi"/>
          <w:sz w:val="24"/>
          <w:szCs w:val="24"/>
        </w:rPr>
        <w:lastRenderedPageBreak/>
        <w:t>Conclusion</w:t>
      </w:r>
    </w:p>
    <w:p w:rsidR="00840D7D" w:rsidRDefault="00840D7D" w:rsidP="006C36F4">
      <w:pPr>
        <w:ind w:firstLine="426"/>
        <w:jc w:val="both"/>
        <w:rPr>
          <w:rFonts w:asciiTheme="minorHAnsi" w:hAnsiTheme="minorHAnsi"/>
          <w:sz w:val="20"/>
          <w:szCs w:val="20"/>
          <w:lang w:val="en-GB"/>
        </w:rPr>
      </w:pPr>
      <w:r>
        <w:rPr>
          <w:rFonts w:asciiTheme="minorHAnsi" w:hAnsiTheme="minorHAnsi"/>
          <w:sz w:val="20"/>
          <w:szCs w:val="20"/>
          <w:lang w:val="en-GB"/>
        </w:rPr>
        <w:t xml:space="preserve">Using of ARC to determine the onset of decomposition temperature and the adiabatic temperature rise was demonstrated in case of two samples. The influence of the concentration was explored for the solutions of dibenzoyl peroxide in toluene. The influence of the material of the bomb (represented by Φ-factor) was demonstrated in the case of PETN decomposition. </w:t>
      </w:r>
    </w:p>
    <w:p w:rsidR="00AF3CA2" w:rsidRDefault="00840D7D" w:rsidP="006C36F4">
      <w:pPr>
        <w:ind w:firstLine="426"/>
        <w:jc w:val="both"/>
        <w:rPr>
          <w:rFonts w:asciiTheme="minorHAnsi" w:hAnsiTheme="minorHAnsi"/>
          <w:sz w:val="20"/>
          <w:szCs w:val="20"/>
          <w:lang w:val="en-GB"/>
        </w:rPr>
      </w:pPr>
      <w:r>
        <w:rPr>
          <w:rFonts w:asciiTheme="minorHAnsi" w:hAnsiTheme="minorHAnsi"/>
          <w:sz w:val="20"/>
          <w:szCs w:val="20"/>
          <w:lang w:val="en-GB"/>
        </w:rPr>
        <w:t>The concentration of DBP influences both these parameters – the onset of decomposition temperature falls and the adiabatic temperature rise grows with the growing concentration. For such solutions, the best way is to test them in such concentration that corresponds to their real usage.</w:t>
      </w:r>
    </w:p>
    <w:p w:rsidR="007D47A9" w:rsidRDefault="007D47A9" w:rsidP="006C36F4">
      <w:pPr>
        <w:ind w:firstLine="426"/>
        <w:jc w:val="both"/>
        <w:rPr>
          <w:rFonts w:asciiTheme="minorHAnsi" w:hAnsiTheme="minorHAnsi"/>
          <w:sz w:val="20"/>
          <w:szCs w:val="20"/>
          <w:lang w:val="en-GB"/>
        </w:rPr>
      </w:pPr>
      <w:r>
        <w:rPr>
          <w:rFonts w:asciiTheme="minorHAnsi" w:hAnsiTheme="minorHAnsi"/>
          <w:sz w:val="20"/>
          <w:szCs w:val="20"/>
          <w:lang w:val="en-GB" w:eastAsia="en-US"/>
        </w:rPr>
        <w:t xml:space="preserve">As a rule of thumb, the measurements should be carried out with as low </w:t>
      </w:r>
      <w:r>
        <w:rPr>
          <w:rFonts w:asciiTheme="minorHAnsi" w:hAnsiTheme="minorHAnsi"/>
          <w:sz w:val="20"/>
          <w:szCs w:val="20"/>
          <w:lang w:val="en-GB"/>
        </w:rPr>
        <w:t xml:space="preserve">Φ-factor as possible. However studying of the decomposition of explosives enables only small amounts of sample to be used in order to prevent the damage of the apparatus. Therefore all the measurements from the second part were carried out with the relatively high Φ-factor. </w:t>
      </w:r>
    </w:p>
    <w:p w:rsidR="007D47A9" w:rsidRDefault="007D47A9" w:rsidP="006C36F4">
      <w:pPr>
        <w:ind w:firstLine="426"/>
        <w:jc w:val="both"/>
        <w:rPr>
          <w:rFonts w:asciiTheme="minorHAnsi" w:hAnsiTheme="minorHAnsi"/>
          <w:sz w:val="20"/>
          <w:szCs w:val="20"/>
          <w:lang w:val="en-GB" w:eastAsia="en-US"/>
        </w:rPr>
      </w:pPr>
      <w:r>
        <w:rPr>
          <w:rFonts w:asciiTheme="minorHAnsi" w:hAnsiTheme="minorHAnsi"/>
          <w:sz w:val="20"/>
          <w:szCs w:val="20"/>
          <w:lang w:val="en-GB" w:eastAsia="en-US"/>
        </w:rPr>
        <w:t xml:space="preserve">The onset of the decomposition temperature was practically unaffected for all the standard bombs. The </w:t>
      </w:r>
      <w:r>
        <w:rPr>
          <w:rFonts w:asciiTheme="minorHAnsi" w:hAnsiTheme="minorHAnsi"/>
          <w:sz w:val="20"/>
          <w:szCs w:val="20"/>
          <w:lang w:val="en-GB"/>
        </w:rPr>
        <w:t xml:space="preserve">Φ-factor is so high, that a small difference of the thermal mass of the bombs does not influence the beginning of the onset of the decomposition temperature. The titanium tube bomb, used in the last case, has lower thermal mass and shows the decomposition temperature about </w:t>
      </w:r>
      <w:r w:rsidR="005368CC">
        <w:rPr>
          <w:rFonts w:asciiTheme="minorHAnsi" w:hAnsiTheme="minorHAnsi"/>
          <w:sz w:val="20"/>
          <w:szCs w:val="20"/>
          <w:lang w:val="en-GB"/>
        </w:rPr>
        <w:t>8</w:t>
      </w:r>
      <w:r w:rsidRPr="007751E6">
        <w:rPr>
          <w:rFonts w:asciiTheme="minorHAnsi" w:hAnsiTheme="minorHAnsi"/>
          <w:sz w:val="20"/>
          <w:szCs w:val="20"/>
          <w:lang w:val="en-GB"/>
        </w:rPr>
        <w:t xml:space="preserve"> °C lower.</w:t>
      </w:r>
      <w:r>
        <w:rPr>
          <w:rFonts w:asciiTheme="minorHAnsi" w:hAnsiTheme="minorHAnsi"/>
          <w:sz w:val="20"/>
          <w:szCs w:val="20"/>
          <w:lang w:val="en-GB"/>
        </w:rPr>
        <w:t xml:space="preserve"> However a sharp peak of the temperature record was observed in this case (figure 3). That means the sample was ignited during the decomposition and it </w:t>
      </w:r>
      <w:r w:rsidRPr="007D47A9">
        <w:rPr>
          <w:rFonts w:asciiTheme="minorHAnsi" w:hAnsiTheme="minorHAnsi"/>
          <w:sz w:val="20"/>
          <w:szCs w:val="20"/>
          <w:lang w:val="en-GB"/>
        </w:rPr>
        <w:t xml:space="preserve">exploded. Therefore </w:t>
      </w:r>
      <w:r>
        <w:rPr>
          <w:rFonts w:asciiTheme="minorHAnsi" w:hAnsiTheme="minorHAnsi"/>
          <w:sz w:val="20"/>
          <w:szCs w:val="20"/>
          <w:lang w:val="en-GB"/>
        </w:rPr>
        <w:t>it was</w:t>
      </w:r>
      <w:r w:rsidRPr="007D47A9">
        <w:rPr>
          <w:rFonts w:asciiTheme="minorHAnsi" w:hAnsiTheme="minorHAnsi"/>
          <w:sz w:val="20"/>
          <w:szCs w:val="20"/>
          <w:lang w:val="en-GB"/>
        </w:rPr>
        <w:t xml:space="preserve"> impossible to measure the end of decomposition and the adiabatic temperature rise c</w:t>
      </w:r>
      <w:r>
        <w:rPr>
          <w:rFonts w:asciiTheme="minorHAnsi" w:hAnsiTheme="minorHAnsi"/>
          <w:sz w:val="20"/>
          <w:szCs w:val="20"/>
          <w:lang w:val="en-GB"/>
        </w:rPr>
        <w:t xml:space="preserve">ould </w:t>
      </w:r>
      <w:r w:rsidRPr="007D47A9">
        <w:rPr>
          <w:rFonts w:asciiTheme="minorHAnsi" w:hAnsiTheme="minorHAnsi"/>
          <w:sz w:val="20"/>
          <w:szCs w:val="20"/>
          <w:lang w:val="en-GB"/>
        </w:rPr>
        <w:t>not be calculated in this case.</w:t>
      </w:r>
      <w:r>
        <w:rPr>
          <w:rFonts w:asciiTheme="minorHAnsi" w:hAnsiTheme="minorHAnsi"/>
          <w:sz w:val="20"/>
          <w:szCs w:val="20"/>
          <w:lang w:val="en-GB"/>
        </w:rPr>
        <w:t xml:space="preserve"> </w:t>
      </w:r>
      <w:r>
        <w:rPr>
          <w:rFonts w:asciiTheme="minorHAnsi" w:hAnsiTheme="minorHAnsi"/>
          <w:sz w:val="20"/>
          <w:szCs w:val="20"/>
          <w:lang w:val="en-GB" w:eastAsia="en-US"/>
        </w:rPr>
        <w:t xml:space="preserve">The maximum pressure is similar for all three standard bombs, because the same amount of the sample is decomposed in the same volume. In the case of titanium tube bomb, the volume if obviously lower and the pressure rises up to 34 </w:t>
      </w:r>
      <w:proofErr w:type="gramStart"/>
      <w:r>
        <w:rPr>
          <w:rFonts w:asciiTheme="minorHAnsi" w:hAnsiTheme="minorHAnsi"/>
          <w:sz w:val="20"/>
          <w:szCs w:val="20"/>
          <w:lang w:val="en-GB" w:eastAsia="en-US"/>
        </w:rPr>
        <w:t>bar</w:t>
      </w:r>
      <w:proofErr w:type="gramEnd"/>
      <w:r>
        <w:rPr>
          <w:rFonts w:asciiTheme="minorHAnsi" w:hAnsiTheme="minorHAnsi"/>
          <w:sz w:val="20"/>
          <w:szCs w:val="20"/>
          <w:lang w:val="en-GB" w:eastAsia="en-US"/>
        </w:rPr>
        <w:t xml:space="preserve">. Despite the titanium bomb has much lower mass (an therefore lower </w:t>
      </w:r>
      <w:r>
        <w:rPr>
          <w:rFonts w:asciiTheme="minorHAnsi" w:hAnsiTheme="minorHAnsi"/>
          <w:sz w:val="20"/>
          <w:szCs w:val="20"/>
          <w:lang w:val="en-GB"/>
        </w:rPr>
        <w:t>Φ-factor), its lower mass together with its lower internal volume forces one to used even sma</w:t>
      </w:r>
      <w:r w:rsidR="005368CC">
        <w:rPr>
          <w:rFonts w:asciiTheme="minorHAnsi" w:hAnsiTheme="minorHAnsi"/>
          <w:sz w:val="20"/>
          <w:szCs w:val="20"/>
          <w:lang w:val="en-GB"/>
        </w:rPr>
        <w:t>ller sample masses, what again</w:t>
      </w:r>
      <w:r>
        <w:rPr>
          <w:rFonts w:asciiTheme="minorHAnsi" w:hAnsiTheme="minorHAnsi"/>
          <w:sz w:val="20"/>
          <w:szCs w:val="20"/>
          <w:lang w:val="en-GB"/>
        </w:rPr>
        <w:t xml:space="preserve"> lead</w:t>
      </w:r>
      <w:r w:rsidR="005368CC">
        <w:rPr>
          <w:rFonts w:asciiTheme="minorHAnsi" w:hAnsiTheme="minorHAnsi"/>
          <w:sz w:val="20"/>
          <w:szCs w:val="20"/>
          <w:lang w:val="en-GB"/>
        </w:rPr>
        <w:t>s</w:t>
      </w:r>
      <w:r>
        <w:rPr>
          <w:rFonts w:asciiTheme="minorHAnsi" w:hAnsiTheme="minorHAnsi"/>
          <w:sz w:val="20"/>
          <w:szCs w:val="20"/>
          <w:lang w:val="en-GB"/>
        </w:rPr>
        <w:t xml:space="preserve"> to higher Φ-factor. </w:t>
      </w:r>
    </w:p>
    <w:p w:rsidR="00AF3CA2" w:rsidRPr="007F7891" w:rsidRDefault="00AF3CA2" w:rsidP="00AF3CA2">
      <w:pPr>
        <w:pStyle w:val="Nadpis2"/>
        <w:rPr>
          <w:rFonts w:asciiTheme="minorHAnsi" w:hAnsiTheme="minorHAnsi"/>
          <w:sz w:val="24"/>
          <w:szCs w:val="24"/>
        </w:rPr>
      </w:pPr>
      <w:r w:rsidRPr="007F7891">
        <w:rPr>
          <w:rFonts w:asciiTheme="minorHAnsi" w:hAnsiTheme="minorHAnsi"/>
          <w:sz w:val="24"/>
          <w:szCs w:val="24"/>
        </w:rPr>
        <w:t xml:space="preserve">References </w:t>
      </w:r>
    </w:p>
    <w:p w:rsidR="00CF09BF" w:rsidRPr="007F7891" w:rsidRDefault="00CF09BF" w:rsidP="00CF09BF">
      <w:pPr>
        <w:pStyle w:val="Odstavecseseznamem"/>
        <w:numPr>
          <w:ilvl w:val="0"/>
          <w:numId w:val="3"/>
        </w:numPr>
        <w:jc w:val="both"/>
        <w:rPr>
          <w:rFonts w:asciiTheme="minorHAnsi" w:hAnsiTheme="minorHAnsi"/>
          <w:sz w:val="20"/>
          <w:szCs w:val="20"/>
          <w:lang w:val="en-GB"/>
        </w:rPr>
      </w:pPr>
      <w:r w:rsidRPr="007F7891">
        <w:rPr>
          <w:rFonts w:asciiTheme="minorHAnsi" w:hAnsiTheme="minorHAnsi"/>
          <w:sz w:val="20"/>
          <w:szCs w:val="20"/>
          <w:lang w:val="en-GB"/>
        </w:rPr>
        <w:t xml:space="preserve">Willey R. J.: Proc. Saf. Eng., 39-44, </w:t>
      </w:r>
      <w:r w:rsidRPr="005368CC">
        <w:rPr>
          <w:rFonts w:asciiTheme="minorHAnsi" w:hAnsiTheme="minorHAnsi"/>
          <w:i/>
          <w:sz w:val="20"/>
          <w:szCs w:val="20"/>
          <w:lang w:val="en-GB"/>
        </w:rPr>
        <w:t>30</w:t>
      </w:r>
      <w:r w:rsidRPr="007F7891">
        <w:rPr>
          <w:rFonts w:asciiTheme="minorHAnsi" w:hAnsiTheme="minorHAnsi"/>
          <w:sz w:val="20"/>
          <w:szCs w:val="20"/>
          <w:lang w:val="en-GB"/>
        </w:rPr>
        <w:t xml:space="preserve"> (2011).</w:t>
      </w:r>
    </w:p>
    <w:p w:rsidR="00C34026" w:rsidRPr="007F7891" w:rsidRDefault="008B4E91" w:rsidP="007F7891">
      <w:pPr>
        <w:pStyle w:val="Odstavecseseznamem"/>
        <w:numPr>
          <w:ilvl w:val="0"/>
          <w:numId w:val="3"/>
        </w:numPr>
        <w:jc w:val="both"/>
        <w:rPr>
          <w:rFonts w:asciiTheme="minorHAnsi" w:hAnsiTheme="minorHAnsi"/>
          <w:sz w:val="20"/>
          <w:szCs w:val="20"/>
          <w:lang w:val="en-GB"/>
        </w:rPr>
      </w:pPr>
      <w:r w:rsidRPr="007F7891">
        <w:rPr>
          <w:rFonts w:asciiTheme="minorHAnsi" w:hAnsiTheme="minorHAnsi"/>
          <w:sz w:val="20"/>
          <w:szCs w:val="20"/>
          <w:lang w:val="en-GB"/>
        </w:rPr>
        <w:t>Zemánek J</w:t>
      </w:r>
      <w:r w:rsidR="00866F9E">
        <w:rPr>
          <w:rFonts w:asciiTheme="minorHAnsi" w:hAnsiTheme="minorHAnsi"/>
          <w:sz w:val="20"/>
          <w:szCs w:val="20"/>
          <w:lang w:val="en-GB"/>
        </w:rPr>
        <w:t>.:</w:t>
      </w:r>
      <w:r w:rsidR="00C34026" w:rsidRPr="007F7891">
        <w:rPr>
          <w:rFonts w:asciiTheme="minorHAnsi" w:hAnsiTheme="minorHAnsi"/>
          <w:sz w:val="20"/>
          <w:szCs w:val="20"/>
          <w:lang w:val="en-GB"/>
        </w:rPr>
        <w:t xml:space="preserve"> </w:t>
      </w:r>
      <w:r w:rsidR="007751E6" w:rsidRPr="00866F9E">
        <w:rPr>
          <w:rFonts w:asciiTheme="minorHAnsi" w:hAnsiTheme="minorHAnsi"/>
          <w:sz w:val="20"/>
          <w:szCs w:val="20"/>
          <w:lang w:val="en-GB"/>
        </w:rPr>
        <w:t>ICCT</w:t>
      </w:r>
      <w:r w:rsidR="00B0596C">
        <w:rPr>
          <w:rFonts w:asciiTheme="minorHAnsi" w:hAnsiTheme="minorHAnsi"/>
          <w:sz w:val="20"/>
          <w:szCs w:val="20"/>
          <w:lang w:val="en-GB"/>
        </w:rPr>
        <w:t xml:space="preserve"> </w:t>
      </w:r>
      <w:r w:rsidR="007751E6" w:rsidRPr="00866F9E">
        <w:rPr>
          <w:rFonts w:asciiTheme="minorHAnsi" w:hAnsiTheme="minorHAnsi"/>
          <w:sz w:val="20"/>
          <w:szCs w:val="20"/>
          <w:lang w:val="en-GB"/>
        </w:rPr>
        <w:t>2015</w:t>
      </w:r>
      <w:r w:rsidR="00C34026" w:rsidRPr="007F7891">
        <w:rPr>
          <w:rFonts w:asciiTheme="minorHAnsi" w:hAnsiTheme="minorHAnsi"/>
          <w:i/>
          <w:sz w:val="20"/>
          <w:szCs w:val="20"/>
          <w:lang w:val="en-GB"/>
        </w:rPr>
        <w:t>,</w:t>
      </w:r>
      <w:r w:rsidR="00C34026" w:rsidRPr="007F7891">
        <w:rPr>
          <w:rFonts w:asciiTheme="minorHAnsi" w:hAnsiTheme="minorHAnsi"/>
          <w:sz w:val="20"/>
          <w:szCs w:val="20"/>
          <w:lang w:val="en-GB"/>
        </w:rPr>
        <w:t xml:space="preserve"> </w:t>
      </w:r>
      <w:proofErr w:type="gramStart"/>
      <w:r w:rsidR="00C34026" w:rsidRPr="007F7891">
        <w:rPr>
          <w:rFonts w:asciiTheme="minorHAnsi" w:hAnsiTheme="minorHAnsi"/>
          <w:sz w:val="20"/>
          <w:szCs w:val="20"/>
          <w:lang w:val="en-GB"/>
        </w:rPr>
        <w:t>First</w:t>
      </w:r>
      <w:proofErr w:type="gramEnd"/>
      <w:r w:rsidR="00C34026" w:rsidRPr="007F7891">
        <w:rPr>
          <w:rFonts w:asciiTheme="minorHAnsi" w:hAnsiTheme="minorHAnsi"/>
          <w:sz w:val="20"/>
          <w:szCs w:val="20"/>
          <w:lang w:val="en-GB"/>
        </w:rPr>
        <w:t xml:space="preserve"> page (year).</w:t>
      </w:r>
      <w:bookmarkStart w:id="0" w:name="_GoBack"/>
      <w:bookmarkEnd w:id="0"/>
    </w:p>
    <w:p w:rsidR="007F7891" w:rsidRDefault="007F7891" w:rsidP="007F7891">
      <w:pPr>
        <w:pStyle w:val="Odstavecseseznamem"/>
        <w:numPr>
          <w:ilvl w:val="0"/>
          <w:numId w:val="3"/>
        </w:numPr>
        <w:jc w:val="both"/>
        <w:rPr>
          <w:rFonts w:asciiTheme="minorHAnsi" w:hAnsiTheme="minorHAnsi"/>
          <w:sz w:val="20"/>
          <w:szCs w:val="20"/>
          <w:lang w:val="en-GB"/>
        </w:rPr>
      </w:pPr>
      <w:r w:rsidRPr="007F7891">
        <w:rPr>
          <w:rFonts w:asciiTheme="minorHAnsi" w:hAnsiTheme="minorHAnsi"/>
          <w:sz w:val="20"/>
          <w:szCs w:val="20"/>
          <w:lang w:val="en-GB"/>
        </w:rPr>
        <w:t>Townsend D. I.</w:t>
      </w:r>
      <w:proofErr w:type="gramStart"/>
      <w:r w:rsidRPr="007F7891">
        <w:rPr>
          <w:rFonts w:asciiTheme="minorHAnsi" w:hAnsiTheme="minorHAnsi"/>
          <w:sz w:val="20"/>
          <w:szCs w:val="20"/>
          <w:lang w:val="en-GB"/>
        </w:rPr>
        <w:t>,  Tou</w:t>
      </w:r>
      <w:proofErr w:type="gramEnd"/>
      <w:r w:rsidRPr="007F7891">
        <w:rPr>
          <w:rFonts w:asciiTheme="minorHAnsi" w:hAnsiTheme="minorHAnsi"/>
          <w:sz w:val="20"/>
          <w:szCs w:val="20"/>
          <w:lang w:val="en-GB"/>
        </w:rPr>
        <w:t xml:space="preserve"> J. C..: Thermochimica Acta, </w:t>
      </w:r>
      <w:r w:rsidRPr="005368CC">
        <w:rPr>
          <w:rFonts w:asciiTheme="minorHAnsi" w:hAnsiTheme="minorHAnsi"/>
          <w:sz w:val="20"/>
          <w:szCs w:val="20"/>
          <w:lang w:val="en-GB"/>
        </w:rPr>
        <w:t>1-30</w:t>
      </w:r>
      <w:r w:rsidRPr="007F7891">
        <w:rPr>
          <w:rFonts w:asciiTheme="minorHAnsi" w:hAnsiTheme="minorHAnsi"/>
          <w:sz w:val="20"/>
          <w:szCs w:val="20"/>
          <w:lang w:val="en-GB"/>
        </w:rPr>
        <w:t xml:space="preserve">, </w:t>
      </w:r>
      <w:r w:rsidRPr="005368CC">
        <w:rPr>
          <w:rFonts w:asciiTheme="minorHAnsi" w:hAnsiTheme="minorHAnsi"/>
          <w:i/>
          <w:sz w:val="20"/>
          <w:szCs w:val="20"/>
          <w:lang w:val="en-GB"/>
        </w:rPr>
        <w:t>37</w:t>
      </w:r>
      <w:r w:rsidRPr="007F7891">
        <w:rPr>
          <w:rFonts w:asciiTheme="minorHAnsi" w:hAnsiTheme="minorHAnsi"/>
          <w:sz w:val="20"/>
          <w:szCs w:val="20"/>
          <w:lang w:val="en-GB"/>
        </w:rPr>
        <w:t xml:space="preserve"> (1980).</w:t>
      </w:r>
    </w:p>
    <w:p w:rsidR="006A7726" w:rsidRPr="007F7891" w:rsidRDefault="006A7726" w:rsidP="00C34026">
      <w:pPr>
        <w:ind w:left="360" w:hanging="360"/>
        <w:jc w:val="both"/>
        <w:rPr>
          <w:rFonts w:asciiTheme="minorHAnsi" w:hAnsiTheme="minorHAnsi"/>
          <w:sz w:val="20"/>
          <w:szCs w:val="20"/>
          <w:lang w:val="en-GB"/>
        </w:rPr>
      </w:pPr>
    </w:p>
    <w:sectPr w:rsidR="006A7726" w:rsidRPr="007F7891" w:rsidSect="00BA5D0F">
      <w:headerReference w:type="default" r:id="rId13"/>
      <w:pgSz w:w="11906" w:h="16838" w:code="9"/>
      <w:pgMar w:top="1417" w:right="1417" w:bottom="1417" w:left="1417" w:header="709" w:footer="2260" w:gutter="0"/>
      <w:pgBorders w:offsetFrom="page">
        <w:bottom w:val="single" w:sz="4" w:space="24" w:color="auto"/>
      </w:pgBorders>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7238" w:rsidRDefault="00BB7238">
      <w:r>
        <w:separator/>
      </w:r>
    </w:p>
  </w:endnote>
  <w:endnote w:type="continuationSeparator" w:id="0">
    <w:p w:rsidR="00BB7238" w:rsidRDefault="00BB7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7238" w:rsidRDefault="00BB7238">
      <w:r>
        <w:separator/>
      </w:r>
    </w:p>
  </w:footnote>
  <w:footnote w:type="continuationSeparator" w:id="0">
    <w:p w:rsidR="00BB7238" w:rsidRDefault="00BB72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54" w:rsidRPr="00E92C23" w:rsidRDefault="00383013">
    <w:pPr>
      <w:pStyle w:val="Zhlav"/>
      <w:tabs>
        <w:tab w:val="clear" w:pos="9072"/>
        <w:tab w:val="right" w:pos="9720"/>
      </w:tabs>
      <w:rPr>
        <w:rFonts w:asciiTheme="minorHAnsi" w:hAnsiTheme="minorHAnsi"/>
        <w:sz w:val="20"/>
        <w:szCs w:val="20"/>
      </w:rPr>
    </w:pPr>
    <w:r w:rsidRPr="00383013">
      <w:rPr>
        <w:rFonts w:asciiTheme="minorHAnsi" w:hAnsiTheme="minorHAnsi"/>
        <w:sz w:val="20"/>
        <w:szCs w:val="20"/>
        <w:lang w:val="cs-CZ"/>
      </w:rPr>
      <w:t>P</w:t>
    </w:r>
    <w:r w:rsidR="004E050A">
      <w:rPr>
        <w:rFonts w:asciiTheme="minorHAnsi" w:hAnsiTheme="minorHAnsi"/>
        <w:sz w:val="20"/>
        <w:szCs w:val="20"/>
        <w:lang w:val="cs-CZ"/>
      </w:rPr>
      <w:t>roceedings of the 4th I</w:t>
    </w:r>
    <w:r w:rsidRPr="00383013">
      <w:rPr>
        <w:rFonts w:asciiTheme="minorHAnsi" w:hAnsiTheme="minorHAnsi"/>
        <w:sz w:val="20"/>
        <w:szCs w:val="20"/>
        <w:lang w:val="cs-CZ"/>
      </w:rPr>
      <w:t xml:space="preserve">nternational </w:t>
    </w:r>
    <w:r w:rsidR="004E050A">
      <w:rPr>
        <w:rFonts w:asciiTheme="minorHAnsi" w:hAnsiTheme="minorHAnsi"/>
        <w:sz w:val="20"/>
        <w:szCs w:val="20"/>
        <w:lang w:val="cs-CZ"/>
      </w:rPr>
      <w:t>C</w:t>
    </w:r>
    <w:r w:rsidRPr="00383013">
      <w:rPr>
        <w:rFonts w:asciiTheme="minorHAnsi" w:hAnsiTheme="minorHAnsi"/>
        <w:sz w:val="20"/>
        <w:szCs w:val="20"/>
        <w:lang w:val="cs-CZ"/>
      </w:rPr>
      <w:t xml:space="preserve">onference on </w:t>
    </w:r>
    <w:r w:rsidR="004E050A">
      <w:rPr>
        <w:rFonts w:asciiTheme="minorHAnsi" w:hAnsiTheme="minorHAnsi"/>
        <w:sz w:val="20"/>
        <w:szCs w:val="20"/>
        <w:lang w:val="cs-CZ"/>
      </w:rPr>
      <w:t>C</w:t>
    </w:r>
    <w:r w:rsidRPr="00383013">
      <w:rPr>
        <w:rFonts w:asciiTheme="minorHAnsi" w:hAnsiTheme="minorHAnsi"/>
        <w:sz w:val="20"/>
        <w:szCs w:val="20"/>
        <w:lang w:val="cs-CZ"/>
      </w:rPr>
      <w:t xml:space="preserve">hemical </w:t>
    </w:r>
    <w:r w:rsidR="004E050A">
      <w:rPr>
        <w:rFonts w:asciiTheme="minorHAnsi" w:hAnsiTheme="minorHAnsi"/>
        <w:sz w:val="20"/>
        <w:szCs w:val="20"/>
        <w:lang w:val="cs-CZ"/>
      </w:rPr>
      <w:t>T</w:t>
    </w:r>
    <w:r w:rsidRPr="00383013">
      <w:rPr>
        <w:rFonts w:asciiTheme="minorHAnsi" w:hAnsiTheme="minorHAnsi"/>
        <w:sz w:val="20"/>
        <w:szCs w:val="20"/>
        <w:lang w:val="cs-CZ"/>
      </w:rPr>
      <w:t>echnology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23F58"/>
    <w:multiLevelType w:val="hybridMultilevel"/>
    <w:tmpl w:val="716494E4"/>
    <w:lvl w:ilvl="0" w:tplc="B7F0199A">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2">
    <w:nsid w:val="246C0F71"/>
    <w:multiLevelType w:val="hybridMultilevel"/>
    <w:tmpl w:val="BB60F0F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8F3"/>
    <w:rsid w:val="00010F90"/>
    <w:rsid w:val="000428C0"/>
    <w:rsid w:val="0006102A"/>
    <w:rsid w:val="000837FC"/>
    <w:rsid w:val="00086904"/>
    <w:rsid w:val="00095B73"/>
    <w:rsid w:val="000A1154"/>
    <w:rsid w:val="000B2A07"/>
    <w:rsid w:val="000B330A"/>
    <w:rsid w:val="000B4294"/>
    <w:rsid w:val="000C0152"/>
    <w:rsid w:val="000D5D11"/>
    <w:rsid w:val="000D6392"/>
    <w:rsid w:val="000F1C0A"/>
    <w:rsid w:val="00106B42"/>
    <w:rsid w:val="00106E8F"/>
    <w:rsid w:val="00151E10"/>
    <w:rsid w:val="001B6186"/>
    <w:rsid w:val="001D5B70"/>
    <w:rsid w:val="001E25A5"/>
    <w:rsid w:val="001F2723"/>
    <w:rsid w:val="001F64F9"/>
    <w:rsid w:val="00203CD5"/>
    <w:rsid w:val="0025327D"/>
    <w:rsid w:val="00273C51"/>
    <w:rsid w:val="002775E4"/>
    <w:rsid w:val="00283AEB"/>
    <w:rsid w:val="002D2F5C"/>
    <w:rsid w:val="002F0796"/>
    <w:rsid w:val="002F63F9"/>
    <w:rsid w:val="00352C18"/>
    <w:rsid w:val="00362B24"/>
    <w:rsid w:val="00383013"/>
    <w:rsid w:val="003C45EA"/>
    <w:rsid w:val="003D1D38"/>
    <w:rsid w:val="003F4A9C"/>
    <w:rsid w:val="00400274"/>
    <w:rsid w:val="00433FE0"/>
    <w:rsid w:val="00444D4C"/>
    <w:rsid w:val="00444DFC"/>
    <w:rsid w:val="004450C3"/>
    <w:rsid w:val="00463A2B"/>
    <w:rsid w:val="004655BF"/>
    <w:rsid w:val="00472DA4"/>
    <w:rsid w:val="00475B0A"/>
    <w:rsid w:val="00486080"/>
    <w:rsid w:val="00490351"/>
    <w:rsid w:val="004A694A"/>
    <w:rsid w:val="004E050A"/>
    <w:rsid w:val="005005E6"/>
    <w:rsid w:val="00510397"/>
    <w:rsid w:val="00512EC9"/>
    <w:rsid w:val="00513DF6"/>
    <w:rsid w:val="005204B8"/>
    <w:rsid w:val="00526CE3"/>
    <w:rsid w:val="005277B3"/>
    <w:rsid w:val="005368CC"/>
    <w:rsid w:val="00566C8D"/>
    <w:rsid w:val="00585EAF"/>
    <w:rsid w:val="005A4E96"/>
    <w:rsid w:val="005B30BC"/>
    <w:rsid w:val="005D69CE"/>
    <w:rsid w:val="00600AF3"/>
    <w:rsid w:val="006030A7"/>
    <w:rsid w:val="00606147"/>
    <w:rsid w:val="00612C85"/>
    <w:rsid w:val="00627F6C"/>
    <w:rsid w:val="006404B7"/>
    <w:rsid w:val="006A1BB6"/>
    <w:rsid w:val="006A473D"/>
    <w:rsid w:val="006A7726"/>
    <w:rsid w:val="006C36F4"/>
    <w:rsid w:val="006D2D71"/>
    <w:rsid w:val="006E6A26"/>
    <w:rsid w:val="006F383D"/>
    <w:rsid w:val="007025DA"/>
    <w:rsid w:val="00713EF7"/>
    <w:rsid w:val="00714F12"/>
    <w:rsid w:val="00751D78"/>
    <w:rsid w:val="00770C2D"/>
    <w:rsid w:val="00774FBB"/>
    <w:rsid w:val="007751E6"/>
    <w:rsid w:val="007B0CB6"/>
    <w:rsid w:val="007B301C"/>
    <w:rsid w:val="007B446B"/>
    <w:rsid w:val="007D0FAE"/>
    <w:rsid w:val="007D47A9"/>
    <w:rsid w:val="007D6CD4"/>
    <w:rsid w:val="007D7431"/>
    <w:rsid w:val="007F7891"/>
    <w:rsid w:val="00806671"/>
    <w:rsid w:val="00806C52"/>
    <w:rsid w:val="008266C5"/>
    <w:rsid w:val="00840D7D"/>
    <w:rsid w:val="00864B48"/>
    <w:rsid w:val="00866F9E"/>
    <w:rsid w:val="00867785"/>
    <w:rsid w:val="0089011E"/>
    <w:rsid w:val="008B2810"/>
    <w:rsid w:val="008B4E91"/>
    <w:rsid w:val="008E7725"/>
    <w:rsid w:val="008F1506"/>
    <w:rsid w:val="0091260A"/>
    <w:rsid w:val="00922670"/>
    <w:rsid w:val="00943A6F"/>
    <w:rsid w:val="00947369"/>
    <w:rsid w:val="009601C2"/>
    <w:rsid w:val="00961C88"/>
    <w:rsid w:val="00981D5D"/>
    <w:rsid w:val="0099665C"/>
    <w:rsid w:val="009B7080"/>
    <w:rsid w:val="009C3AC0"/>
    <w:rsid w:val="009C69E9"/>
    <w:rsid w:val="009E282E"/>
    <w:rsid w:val="00A06248"/>
    <w:rsid w:val="00A15B4B"/>
    <w:rsid w:val="00A325B5"/>
    <w:rsid w:val="00A47931"/>
    <w:rsid w:val="00A64D94"/>
    <w:rsid w:val="00A83F70"/>
    <w:rsid w:val="00AA58F3"/>
    <w:rsid w:val="00AF3CA2"/>
    <w:rsid w:val="00B0596C"/>
    <w:rsid w:val="00B53B6A"/>
    <w:rsid w:val="00B5650C"/>
    <w:rsid w:val="00B63825"/>
    <w:rsid w:val="00B7312F"/>
    <w:rsid w:val="00BA5D0F"/>
    <w:rsid w:val="00BB7238"/>
    <w:rsid w:val="00BC28A0"/>
    <w:rsid w:val="00BD013E"/>
    <w:rsid w:val="00BF09B7"/>
    <w:rsid w:val="00BF2474"/>
    <w:rsid w:val="00BF2D07"/>
    <w:rsid w:val="00C0463F"/>
    <w:rsid w:val="00C34026"/>
    <w:rsid w:val="00C939C5"/>
    <w:rsid w:val="00CA37A1"/>
    <w:rsid w:val="00CC6D47"/>
    <w:rsid w:val="00CE5A28"/>
    <w:rsid w:val="00CF09BF"/>
    <w:rsid w:val="00D00FBD"/>
    <w:rsid w:val="00D15D44"/>
    <w:rsid w:val="00D338C0"/>
    <w:rsid w:val="00D56B12"/>
    <w:rsid w:val="00D82787"/>
    <w:rsid w:val="00D91B8B"/>
    <w:rsid w:val="00D95B32"/>
    <w:rsid w:val="00DB1BD9"/>
    <w:rsid w:val="00DC4DB5"/>
    <w:rsid w:val="00DE083C"/>
    <w:rsid w:val="00DF5C79"/>
    <w:rsid w:val="00E57515"/>
    <w:rsid w:val="00E676D3"/>
    <w:rsid w:val="00E77202"/>
    <w:rsid w:val="00E83F60"/>
    <w:rsid w:val="00E907A8"/>
    <w:rsid w:val="00E92C23"/>
    <w:rsid w:val="00EB48CA"/>
    <w:rsid w:val="00EC098B"/>
    <w:rsid w:val="00EC4EAB"/>
    <w:rsid w:val="00EC5718"/>
    <w:rsid w:val="00EE28DE"/>
    <w:rsid w:val="00EF6522"/>
    <w:rsid w:val="00F15214"/>
    <w:rsid w:val="00F25706"/>
    <w:rsid w:val="00F36C06"/>
    <w:rsid w:val="00F52BFF"/>
    <w:rsid w:val="00FD516D"/>
    <w:rsid w:val="00FE330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Titulek">
    <w:name w:val="caption"/>
    <w:basedOn w:val="Normln"/>
    <w:next w:val="Normln"/>
    <w:uiPriority w:val="35"/>
    <w:unhideWhenUsed/>
    <w:qFormat/>
    <w:rsid w:val="004450C3"/>
    <w:pPr>
      <w:spacing w:after="200"/>
    </w:pPr>
    <w:rPr>
      <w:b/>
      <w:bCs/>
      <w:color w:val="4F81BD" w:themeColor="accent1"/>
      <w:sz w:val="18"/>
      <w:szCs w:val="18"/>
    </w:rPr>
  </w:style>
  <w:style w:type="paragraph" w:styleId="Seznamobrzk">
    <w:name w:val="table of figures"/>
    <w:basedOn w:val="Normln"/>
    <w:next w:val="Normln"/>
    <w:uiPriority w:val="99"/>
    <w:semiHidden/>
    <w:unhideWhenUsed/>
    <w:rsid w:val="00FE3300"/>
  </w:style>
  <w:style w:type="character" w:styleId="Zstupntext">
    <w:name w:val="Placeholder Text"/>
    <w:basedOn w:val="Standardnpsmoodstavce"/>
    <w:uiPriority w:val="99"/>
    <w:semiHidden/>
    <w:rsid w:val="00D15D4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Titulek">
    <w:name w:val="caption"/>
    <w:basedOn w:val="Normln"/>
    <w:next w:val="Normln"/>
    <w:uiPriority w:val="35"/>
    <w:unhideWhenUsed/>
    <w:qFormat/>
    <w:rsid w:val="004450C3"/>
    <w:pPr>
      <w:spacing w:after="200"/>
    </w:pPr>
    <w:rPr>
      <w:b/>
      <w:bCs/>
      <w:color w:val="4F81BD" w:themeColor="accent1"/>
      <w:sz w:val="18"/>
      <w:szCs w:val="18"/>
    </w:rPr>
  </w:style>
  <w:style w:type="paragraph" w:styleId="Seznamobrzk">
    <w:name w:val="table of figures"/>
    <w:basedOn w:val="Normln"/>
    <w:next w:val="Normln"/>
    <w:uiPriority w:val="99"/>
    <w:semiHidden/>
    <w:unhideWhenUsed/>
    <w:rsid w:val="00FE3300"/>
  </w:style>
  <w:style w:type="character" w:styleId="Zstupntext">
    <w:name w:val="Placeholder Text"/>
    <w:basedOn w:val="Standardnpsmoodstavce"/>
    <w:uiPriority w:val="99"/>
    <w:semiHidden/>
    <w:rsid w:val="00D15D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784673">
      <w:bodyDiv w:val="1"/>
      <w:marLeft w:val="0"/>
      <w:marRight w:val="0"/>
      <w:marTop w:val="0"/>
      <w:marBottom w:val="0"/>
      <w:divBdr>
        <w:top w:val="none" w:sz="0" w:space="0" w:color="auto"/>
        <w:left w:val="none" w:sz="0" w:space="0" w:color="auto"/>
        <w:bottom w:val="none" w:sz="0" w:space="0" w:color="auto"/>
        <w:right w:val="none" w:sz="0" w:space="0" w:color="auto"/>
      </w:divBdr>
    </w:div>
    <w:div w:id="1277177871">
      <w:bodyDiv w:val="1"/>
      <w:marLeft w:val="0"/>
      <w:marRight w:val="0"/>
      <w:marTop w:val="0"/>
      <w:marBottom w:val="0"/>
      <w:divBdr>
        <w:top w:val="none" w:sz="0" w:space="0" w:color="auto"/>
        <w:left w:val="none" w:sz="0" w:space="0" w:color="auto"/>
        <w:bottom w:val="none" w:sz="0" w:space="0" w:color="auto"/>
        <w:right w:val="none" w:sz="0" w:space="0" w:color="auto"/>
      </w:divBdr>
    </w:div>
    <w:div w:id="1786849010">
      <w:bodyDiv w:val="1"/>
      <w:marLeft w:val="0"/>
      <w:marRight w:val="0"/>
      <w:marTop w:val="0"/>
      <w:marBottom w:val="0"/>
      <w:divBdr>
        <w:top w:val="none" w:sz="0" w:space="0" w:color="auto"/>
        <w:left w:val="none" w:sz="0" w:space="0" w:color="auto"/>
        <w:bottom w:val="none" w:sz="0" w:space="0" w:color="auto"/>
        <w:right w:val="none" w:sz="0" w:space="0" w:color="auto"/>
      </w:divBdr>
    </w:div>
    <w:div w:id="190529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67136-8146-403E-891F-3DE64C4A4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2094</Words>
  <Characters>11937</Characters>
  <Application>Microsoft Office Word</Application>
  <DocSecurity>0</DocSecurity>
  <Lines>99</Lines>
  <Paragraphs>28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14003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spravce</cp:lastModifiedBy>
  <cp:revision>2</cp:revision>
  <dcterms:created xsi:type="dcterms:W3CDTF">2016-04-29T09:50:00Z</dcterms:created>
  <dcterms:modified xsi:type="dcterms:W3CDTF">2016-04-29T09:50:00Z</dcterms:modified>
</cp:coreProperties>
</file>