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0C0874A3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BE4D74">
        <w:rPr>
          <w:sz w:val="22"/>
          <w:szCs w:val="22"/>
        </w:rPr>
        <w:t>Lucie Poklopová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71CEDA7A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BE4D74" w:rsidRPr="00BE4D74">
        <w:rPr>
          <w:sz w:val="22"/>
          <w:szCs w:val="22"/>
        </w:rPr>
        <w:t>Postava novináře v českém a překladovém dramatu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4F47B9F5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BE4D74">
        <w:rPr>
          <w:sz w:val="22"/>
          <w:szCs w:val="22"/>
        </w:rPr>
        <w:t>PhDr. Antonín Kudláč</w:t>
      </w:r>
      <w:r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1DCBE9D8" w14:textId="77777777" w:rsidR="007A0D96" w:rsidRPr="00D22FAA" w:rsidRDefault="007A0D96" w:rsidP="007A0D96"/>
    <w:p w14:paraId="32D6D6DD" w14:textId="7272A780" w:rsidR="007A0D96" w:rsidRPr="00BE4D74" w:rsidRDefault="007A0D96" w:rsidP="00BE4D74">
      <w:pPr>
        <w:jc w:val="both"/>
        <w:rPr>
          <w:sz w:val="22"/>
          <w:szCs w:val="22"/>
        </w:rPr>
      </w:pPr>
      <w:r w:rsidRPr="00BE4D74">
        <w:rPr>
          <w:sz w:val="22"/>
          <w:szCs w:val="22"/>
        </w:rPr>
        <w:t>Zvolené téma odpovídá možnostem bakalářské práce, základní literatura i prameny jsou v úvodu textu dostatečně představeny, větší rezervy jeví představení metody zkoumán</w:t>
      </w:r>
      <w:r w:rsidR="00065286">
        <w:rPr>
          <w:sz w:val="22"/>
          <w:szCs w:val="22"/>
        </w:rPr>
        <w:t xml:space="preserve">í – je sice jasně popsáno, jak autorka zvolila vybrané prameny, </w:t>
      </w:r>
      <w:r w:rsidR="006D7F91">
        <w:rPr>
          <w:sz w:val="22"/>
          <w:szCs w:val="22"/>
        </w:rPr>
        <w:t>ale není patrné, jakým způsobem je bude konkrétně analyzovat.</w:t>
      </w: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DD6859" w14:paraId="5A6A80A1" w14:textId="77777777">
        <w:trPr>
          <w:trHeight w:val="276"/>
        </w:trPr>
        <w:tc>
          <w:tcPr>
            <w:tcW w:w="1151" w:type="dxa"/>
          </w:tcPr>
          <w:p w14:paraId="325A974E" w14:textId="3390C9D2" w:rsidR="00C02989" w:rsidRDefault="006D7F91">
            <w:pPr>
              <w:pStyle w:val="Obsahtabulky"/>
              <w:snapToGrid w:val="0"/>
            </w:pPr>
            <w:r>
              <w:t>3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18B5219C" w14:textId="16A85CC5" w:rsidR="00C02989" w:rsidRDefault="00B60CE6">
      <w:pPr>
        <w:rPr>
          <w:sz w:val="22"/>
          <w:szCs w:val="22"/>
        </w:rPr>
      </w:pPr>
      <w:r>
        <w:rPr>
          <w:sz w:val="22"/>
          <w:szCs w:val="22"/>
        </w:rPr>
        <w:t>Autorčino interpretační úsilí je nezpochybnitelné, přesto místy selhává</w:t>
      </w:r>
      <w:r w:rsidR="009F4340">
        <w:rPr>
          <w:sz w:val="22"/>
          <w:szCs w:val="22"/>
        </w:rPr>
        <w:t xml:space="preserve"> (viz následující bod posudku)</w:t>
      </w:r>
      <w:r>
        <w:rPr>
          <w:sz w:val="22"/>
          <w:szCs w:val="22"/>
        </w:rPr>
        <w:t xml:space="preserve">. Pisatelka </w:t>
      </w:r>
      <w:r w:rsidR="009F4340">
        <w:rPr>
          <w:sz w:val="22"/>
          <w:szCs w:val="22"/>
        </w:rPr>
        <w:t xml:space="preserve">např. </w:t>
      </w:r>
      <w:r>
        <w:rPr>
          <w:sz w:val="22"/>
          <w:szCs w:val="22"/>
        </w:rPr>
        <w:t>věnuje velký prostor zkoumání jmen postav, jakkoliv z jejich analýzy plyne jen málo pro celkové pochopení</w:t>
      </w:r>
      <w:r w:rsidR="009F4340">
        <w:rPr>
          <w:sz w:val="22"/>
          <w:szCs w:val="22"/>
        </w:rPr>
        <w:t xml:space="preserve"> vývoje obrazu novináře, podobně bezmála vytváří typologii novinářských postav, ale už bez zobecněného závěru pro celek zkoumaných dramat</w:t>
      </w:r>
      <w:r w:rsidR="00346B1D">
        <w:rPr>
          <w:sz w:val="22"/>
          <w:szCs w:val="22"/>
        </w:rPr>
        <w:t xml:space="preserve"> – i Závěr práce se věnuje jednotlivým dramatům izolovaně a nepřekračuje jejich hranice k širšímu interpretačnímu shrnutí. </w:t>
      </w:r>
    </w:p>
    <w:p w14:paraId="5960B568" w14:textId="77777777" w:rsidR="00B60CE6" w:rsidRDefault="00B60CE6">
      <w:pPr>
        <w:rPr>
          <w:sz w:val="22"/>
          <w:szCs w:val="22"/>
        </w:rPr>
      </w:pP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6859" w14:paraId="12E538A3" w14:textId="77777777">
        <w:trPr>
          <w:trHeight w:val="276"/>
        </w:trPr>
        <w:tc>
          <w:tcPr>
            <w:tcW w:w="1142" w:type="dxa"/>
          </w:tcPr>
          <w:p w14:paraId="4DBA2780" w14:textId="47DD69AA" w:rsidR="00C02989" w:rsidRDefault="009F4340">
            <w:pPr>
              <w:pStyle w:val="Obsahtabulky"/>
              <w:snapToGrid w:val="0"/>
            </w:pPr>
            <w:r>
              <w:t>3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0498C4ED" w14:textId="77777777" w:rsidR="00C02989" w:rsidRDefault="00C02989">
      <w:pPr>
        <w:rPr>
          <w:sz w:val="22"/>
          <w:szCs w:val="22"/>
        </w:rPr>
      </w:pPr>
    </w:p>
    <w:p w14:paraId="4F21D09C" w14:textId="7E03D72E" w:rsidR="009F4340" w:rsidRPr="00346B1D" w:rsidRDefault="009F4340" w:rsidP="00346B1D">
      <w:pPr>
        <w:jc w:val="both"/>
        <w:rPr>
          <w:sz w:val="22"/>
          <w:szCs w:val="22"/>
        </w:rPr>
      </w:pPr>
      <w:r w:rsidRPr="00346B1D">
        <w:rPr>
          <w:sz w:val="22"/>
          <w:szCs w:val="22"/>
        </w:rPr>
        <w:t>Struktura práce vypadá na první pohled přehledně, přesto jeví určité rezervy dané autorčinou tendencí vkládat do textu i detaily, které nemají přímou souvislost se zkoumaným tématem. Například na s. 7 nalezneme informace o počátku československého televizního vysílání, nebo o současné podobě žurnalistiky, ačkoliv se ani jedno z těchto témat ve zkoumaných dramatech vůbec neobjevuje.</w:t>
      </w:r>
    </w:p>
    <w:p w14:paraId="0ABDCB0E" w14:textId="0AB47C0B" w:rsidR="000D7545" w:rsidRPr="00346B1D" w:rsidRDefault="000D7545" w:rsidP="00346B1D">
      <w:pPr>
        <w:jc w:val="both"/>
        <w:rPr>
          <w:sz w:val="22"/>
          <w:szCs w:val="22"/>
        </w:rPr>
      </w:pPr>
      <w:r w:rsidRPr="00346B1D">
        <w:rPr>
          <w:sz w:val="22"/>
          <w:szCs w:val="22"/>
        </w:rPr>
        <w:t>Na druhou stranu se pisatelka místy dopouští silného zjednodušování. U teoretických kapitol je problematické, zda představené teze mají univerzální platnost i v kontextu doby, kdy vznik</w:t>
      </w:r>
      <w:r w:rsidR="00346B1D">
        <w:rPr>
          <w:sz w:val="22"/>
          <w:szCs w:val="22"/>
        </w:rPr>
        <w:t>a</w:t>
      </w:r>
      <w:r w:rsidRPr="00346B1D">
        <w:rPr>
          <w:sz w:val="22"/>
          <w:szCs w:val="22"/>
        </w:rPr>
        <w:t>la zkoumaná dramata. Kupříkladu ú</w:t>
      </w:r>
      <w:r w:rsidR="007A0D96" w:rsidRPr="00346B1D">
        <w:rPr>
          <w:sz w:val="22"/>
          <w:szCs w:val="22"/>
        </w:rPr>
        <w:t xml:space="preserve">vahy o novinářské etice a etických kodexech jsou sice částečně na místě, ale </w:t>
      </w:r>
      <w:r w:rsidR="007A0D96" w:rsidRPr="00346B1D">
        <w:rPr>
          <w:sz w:val="22"/>
          <w:szCs w:val="22"/>
        </w:rPr>
        <w:lastRenderedPageBreak/>
        <w:t>navzdory tomu, že autorka zmiňuje historicky první etický kodex z roku 1868 (s. 4 a dále</w:t>
      </w:r>
      <w:r w:rsidRPr="00346B1D">
        <w:rPr>
          <w:sz w:val="22"/>
          <w:szCs w:val="22"/>
        </w:rPr>
        <w:t>)</w:t>
      </w:r>
      <w:r w:rsidR="007A0D96" w:rsidRPr="00346B1D">
        <w:rPr>
          <w:sz w:val="22"/>
          <w:szCs w:val="22"/>
        </w:rPr>
        <w:t xml:space="preserve">, je </w:t>
      </w:r>
      <w:r w:rsidRPr="00346B1D">
        <w:rPr>
          <w:sz w:val="22"/>
          <w:szCs w:val="22"/>
        </w:rPr>
        <w:t xml:space="preserve">hrubě </w:t>
      </w:r>
      <w:r w:rsidR="007A0D96" w:rsidRPr="00346B1D">
        <w:rPr>
          <w:sz w:val="22"/>
          <w:szCs w:val="22"/>
        </w:rPr>
        <w:t>zjednodušujícím předpokládat, že od začátku 20. století byl</w:t>
      </w:r>
      <w:r w:rsidR="0009463D" w:rsidRPr="00346B1D">
        <w:rPr>
          <w:sz w:val="22"/>
          <w:szCs w:val="22"/>
        </w:rPr>
        <w:t xml:space="preserve">y </w:t>
      </w:r>
      <w:r w:rsidR="007A0D96" w:rsidRPr="00346B1D">
        <w:rPr>
          <w:sz w:val="22"/>
          <w:szCs w:val="22"/>
        </w:rPr>
        <w:t>etické kodexy běžnou součástí novinářské praxe</w:t>
      </w:r>
      <w:r w:rsidRPr="00346B1D">
        <w:rPr>
          <w:sz w:val="22"/>
          <w:szCs w:val="22"/>
        </w:rPr>
        <w:t>.</w:t>
      </w:r>
    </w:p>
    <w:p w14:paraId="0FF6133B" w14:textId="33CF0EB9" w:rsidR="000D7545" w:rsidRPr="00346B1D" w:rsidRDefault="000D7545" w:rsidP="00346B1D">
      <w:pPr>
        <w:jc w:val="both"/>
        <w:rPr>
          <w:sz w:val="22"/>
          <w:szCs w:val="22"/>
        </w:rPr>
      </w:pPr>
      <w:r w:rsidRPr="00346B1D">
        <w:rPr>
          <w:sz w:val="22"/>
          <w:szCs w:val="22"/>
        </w:rPr>
        <w:t>Podobně zjednodušující jsou momenty, kdy autorka ve snaze o interpretaci vkládá do textu zobecněná</w:t>
      </w:r>
      <w:r w:rsidR="007A0D96" w:rsidRPr="00346B1D">
        <w:rPr>
          <w:sz w:val="22"/>
          <w:szCs w:val="22"/>
        </w:rPr>
        <w:t xml:space="preserve"> </w:t>
      </w:r>
      <w:r w:rsidRPr="00346B1D">
        <w:rPr>
          <w:sz w:val="22"/>
          <w:szCs w:val="22"/>
        </w:rPr>
        <w:t xml:space="preserve">názorová </w:t>
      </w:r>
      <w:r w:rsidR="007A0D96" w:rsidRPr="00346B1D">
        <w:rPr>
          <w:sz w:val="22"/>
          <w:szCs w:val="22"/>
        </w:rPr>
        <w:t>konstatování o žurnalistice a novinářích (např</w:t>
      </w:r>
      <w:r w:rsidRPr="00346B1D">
        <w:rPr>
          <w:sz w:val="22"/>
          <w:szCs w:val="22"/>
        </w:rPr>
        <w:t xml:space="preserve">. </w:t>
      </w:r>
      <w:r w:rsidR="007A0D96" w:rsidRPr="00346B1D">
        <w:rPr>
          <w:sz w:val="22"/>
          <w:szCs w:val="22"/>
        </w:rPr>
        <w:t xml:space="preserve">s. 9: </w:t>
      </w:r>
      <w:r w:rsidRPr="00346B1D">
        <w:rPr>
          <w:sz w:val="22"/>
          <w:szCs w:val="22"/>
        </w:rPr>
        <w:t>„Podle mého názoru jsou moderátoři zpráv či novináři pro mnoho lidí nejen mediálně známými osobnostmi, ale také vzory.“, podobně také souhrn etických kritérií novinářské práce na s</w:t>
      </w:r>
      <w:r w:rsidR="00346B1D">
        <w:rPr>
          <w:sz w:val="22"/>
          <w:szCs w:val="22"/>
        </w:rPr>
        <w:t>.</w:t>
      </w:r>
      <w:r w:rsidRPr="00346B1D">
        <w:rPr>
          <w:sz w:val="22"/>
          <w:szCs w:val="22"/>
        </w:rPr>
        <w:t xml:space="preserve"> 12</w:t>
      </w:r>
      <w:r w:rsidR="007A0D96" w:rsidRPr="00346B1D">
        <w:rPr>
          <w:sz w:val="22"/>
          <w:szCs w:val="22"/>
        </w:rPr>
        <w:t xml:space="preserve">), která text spíše významově rozmělňují, případně naznačují nedostatky </w:t>
      </w:r>
      <w:r w:rsidRPr="00346B1D">
        <w:rPr>
          <w:sz w:val="22"/>
          <w:szCs w:val="22"/>
        </w:rPr>
        <w:t>odborného psaní.</w:t>
      </w:r>
      <w:r w:rsidR="007A0D96" w:rsidRPr="00346B1D">
        <w:rPr>
          <w:sz w:val="22"/>
          <w:szCs w:val="22"/>
        </w:rPr>
        <w:t xml:space="preserve"> </w:t>
      </w:r>
      <w:r w:rsidRPr="00346B1D">
        <w:rPr>
          <w:sz w:val="22"/>
          <w:szCs w:val="22"/>
        </w:rPr>
        <w:t>Např. na s. 29 pisatelka předkládá tezi, že současní novináři mají větší vliv na politickou scénu než</w:t>
      </w:r>
      <w:r w:rsidR="00346B1D">
        <w:rPr>
          <w:sz w:val="22"/>
          <w:szCs w:val="22"/>
        </w:rPr>
        <w:t xml:space="preserve"> ti</w:t>
      </w:r>
      <w:r w:rsidRPr="00346B1D">
        <w:rPr>
          <w:sz w:val="22"/>
          <w:szCs w:val="22"/>
        </w:rPr>
        <w:t xml:space="preserve"> ve 30. letech. Vůbec ale není zřejmé, z čeho takovou tezi vyvozuje, jak by v odborném textu mělo být. </w:t>
      </w:r>
    </w:p>
    <w:p w14:paraId="34FF6D0F" w14:textId="3AFAB048" w:rsidR="009F4340" w:rsidRPr="00346B1D" w:rsidRDefault="000D7545" w:rsidP="00346B1D">
      <w:pPr>
        <w:jc w:val="both"/>
        <w:rPr>
          <w:sz w:val="22"/>
          <w:szCs w:val="22"/>
        </w:rPr>
      </w:pPr>
      <w:r w:rsidRPr="00346B1D">
        <w:rPr>
          <w:sz w:val="22"/>
          <w:szCs w:val="22"/>
        </w:rPr>
        <w:t xml:space="preserve">Na druhou stranu je </w:t>
      </w:r>
      <w:r w:rsidR="007A0D96" w:rsidRPr="00346B1D">
        <w:rPr>
          <w:sz w:val="22"/>
          <w:szCs w:val="22"/>
        </w:rPr>
        <w:t>třeba pochválit úsilí o dohledávání relevantních zdrojů a využití i cizojazyčných publikací, konkrétně v teoretických kapitolách o literární postavě.</w:t>
      </w:r>
      <w:r w:rsidR="0009463D" w:rsidRPr="00346B1D">
        <w:rPr>
          <w:sz w:val="22"/>
          <w:szCs w:val="22"/>
        </w:rPr>
        <w:t xml:space="preserve"> V práci se zdroji pisatelka prokazuje velkou pečlivost a poctivě se snaží poznatky z odborné četby vysvětlovat. </w:t>
      </w:r>
    </w:p>
    <w:p w14:paraId="008BE469" w14:textId="77777777" w:rsidR="009F4340" w:rsidRDefault="009F4340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6859" w14:paraId="56BA01AC" w14:textId="77777777">
        <w:trPr>
          <w:trHeight w:val="276"/>
        </w:trPr>
        <w:tc>
          <w:tcPr>
            <w:tcW w:w="1142" w:type="dxa"/>
          </w:tcPr>
          <w:p w14:paraId="78108D27" w14:textId="774F3EB2" w:rsidR="00C02989" w:rsidRDefault="00346B1D">
            <w:pPr>
              <w:pStyle w:val="Obsahtabulky"/>
              <w:snapToGrid w:val="0"/>
            </w:pPr>
            <w:r>
              <w:t>3</w:t>
            </w:r>
          </w:p>
        </w:tc>
      </w:tr>
    </w:tbl>
    <w:p w14:paraId="27357585" w14:textId="77777777" w:rsidR="0009463D" w:rsidRDefault="0009463D">
      <w:pPr>
        <w:rPr>
          <w:b/>
          <w:bCs/>
          <w:sz w:val="22"/>
          <w:szCs w:val="22"/>
        </w:rPr>
      </w:pPr>
    </w:p>
    <w:p w14:paraId="7769F25D" w14:textId="77777777" w:rsidR="00346B1D" w:rsidRDefault="00346B1D">
      <w:pPr>
        <w:rPr>
          <w:b/>
          <w:bCs/>
          <w:sz w:val="22"/>
          <w:szCs w:val="22"/>
        </w:rPr>
      </w:pPr>
    </w:p>
    <w:p w14:paraId="6A9FF7EA" w14:textId="29748DA0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76ED28E5" w14:textId="13BB3730" w:rsidR="007A0D96" w:rsidRPr="00346B1D" w:rsidRDefault="0009463D" w:rsidP="007A0D96">
      <w:pPr>
        <w:rPr>
          <w:sz w:val="22"/>
          <w:szCs w:val="22"/>
        </w:rPr>
      </w:pPr>
      <w:r w:rsidRPr="00346B1D">
        <w:rPr>
          <w:sz w:val="22"/>
          <w:szCs w:val="22"/>
        </w:rPr>
        <w:t>Grafická úprava práce je v pořádku, citační norma byla dodržena. Výhrady lze mít ale k jazykové stránce: v</w:t>
      </w:r>
      <w:r w:rsidR="007A0D96" w:rsidRPr="00346B1D">
        <w:rPr>
          <w:sz w:val="22"/>
          <w:szCs w:val="22"/>
        </w:rPr>
        <w:t xml:space="preserve"> textu se objevují formulační problémy (</w:t>
      </w:r>
      <w:r w:rsidRPr="00346B1D">
        <w:rPr>
          <w:sz w:val="22"/>
          <w:szCs w:val="22"/>
        </w:rPr>
        <w:t xml:space="preserve">s. 25: „Pro objasnění práce faktora a sazeče uvedu stručné vysvětlení náplně jejich práce.“ nebo </w:t>
      </w:r>
      <w:r w:rsidR="007A0D96" w:rsidRPr="00346B1D">
        <w:rPr>
          <w:sz w:val="22"/>
          <w:szCs w:val="22"/>
        </w:rPr>
        <w:t xml:space="preserve">s. 1: </w:t>
      </w:r>
      <w:r w:rsidRPr="00346B1D">
        <w:rPr>
          <w:sz w:val="22"/>
          <w:szCs w:val="22"/>
        </w:rPr>
        <w:t>„Dále popíšu, jak se žurnalistické povolání stávalo profesí, a na etiku novinářů.“</w:t>
      </w:r>
      <w:r w:rsidR="007A0D96" w:rsidRPr="00346B1D">
        <w:rPr>
          <w:sz w:val="22"/>
          <w:szCs w:val="22"/>
        </w:rPr>
        <w:t>), překlepy, chybějící písmena</w:t>
      </w:r>
      <w:r w:rsidRPr="00346B1D">
        <w:rPr>
          <w:sz w:val="22"/>
          <w:szCs w:val="22"/>
        </w:rPr>
        <w:t>,</w:t>
      </w:r>
      <w:r w:rsidR="007A0D96" w:rsidRPr="00346B1D">
        <w:rPr>
          <w:sz w:val="22"/>
          <w:szCs w:val="22"/>
        </w:rPr>
        <w:t xml:space="preserve"> místy</w:t>
      </w:r>
      <w:r w:rsidRPr="00346B1D">
        <w:rPr>
          <w:sz w:val="22"/>
          <w:szCs w:val="22"/>
        </w:rPr>
        <w:t xml:space="preserve"> najdeme</w:t>
      </w:r>
      <w:r w:rsidR="007A0D96" w:rsidRPr="00346B1D">
        <w:rPr>
          <w:sz w:val="22"/>
          <w:szCs w:val="22"/>
        </w:rPr>
        <w:t xml:space="preserve"> nevhodné lexikum nebo frazeologi</w:t>
      </w:r>
      <w:r w:rsidRPr="00346B1D">
        <w:rPr>
          <w:sz w:val="22"/>
          <w:szCs w:val="22"/>
        </w:rPr>
        <w:t>i (</w:t>
      </w:r>
      <w:r w:rsidR="007A0D96" w:rsidRPr="00346B1D">
        <w:rPr>
          <w:sz w:val="22"/>
          <w:szCs w:val="22"/>
        </w:rPr>
        <w:t>např. s</w:t>
      </w:r>
      <w:r w:rsidRPr="00346B1D">
        <w:rPr>
          <w:sz w:val="22"/>
          <w:szCs w:val="22"/>
        </w:rPr>
        <w:t>.</w:t>
      </w:r>
      <w:r w:rsidR="007A0D96" w:rsidRPr="00346B1D">
        <w:rPr>
          <w:sz w:val="22"/>
          <w:szCs w:val="22"/>
        </w:rPr>
        <w:t xml:space="preserve"> 33 </w:t>
      </w:r>
      <w:r w:rsidRPr="00346B1D">
        <w:rPr>
          <w:sz w:val="22"/>
          <w:szCs w:val="22"/>
        </w:rPr>
        <w:t>„</w:t>
      </w:r>
      <w:r w:rsidR="007A0D96" w:rsidRPr="00346B1D">
        <w:rPr>
          <w:sz w:val="22"/>
          <w:szCs w:val="22"/>
        </w:rPr>
        <w:t>vyhazov</w:t>
      </w:r>
      <w:r w:rsidRPr="00346B1D">
        <w:rPr>
          <w:sz w:val="22"/>
          <w:szCs w:val="22"/>
        </w:rPr>
        <w:t>“</w:t>
      </w:r>
      <w:r w:rsidR="007A0D96" w:rsidRPr="00346B1D">
        <w:rPr>
          <w:sz w:val="22"/>
          <w:szCs w:val="22"/>
        </w:rPr>
        <w:t>, s</w:t>
      </w:r>
      <w:r w:rsidRPr="00346B1D">
        <w:rPr>
          <w:sz w:val="22"/>
          <w:szCs w:val="22"/>
        </w:rPr>
        <w:t>.</w:t>
      </w:r>
      <w:r w:rsidR="007A0D96" w:rsidRPr="00346B1D">
        <w:rPr>
          <w:sz w:val="22"/>
          <w:szCs w:val="22"/>
        </w:rPr>
        <w:t xml:space="preserve"> 38 </w:t>
      </w:r>
      <w:r w:rsidRPr="00346B1D">
        <w:rPr>
          <w:sz w:val="22"/>
          <w:szCs w:val="22"/>
        </w:rPr>
        <w:t>„</w:t>
      </w:r>
      <w:r w:rsidR="007A0D96" w:rsidRPr="00346B1D">
        <w:rPr>
          <w:sz w:val="22"/>
          <w:szCs w:val="22"/>
        </w:rPr>
        <w:t>mastit si kapsy</w:t>
      </w:r>
      <w:r w:rsidRPr="00346B1D">
        <w:rPr>
          <w:sz w:val="22"/>
          <w:szCs w:val="22"/>
        </w:rPr>
        <w:t>“).</w:t>
      </w:r>
    </w:p>
    <w:p w14:paraId="663B9170" w14:textId="77777777" w:rsidR="00C02989" w:rsidRPr="00346B1D" w:rsidRDefault="00C02989">
      <w:pPr>
        <w:rPr>
          <w:sz w:val="22"/>
          <w:szCs w:val="22"/>
        </w:rPr>
      </w:pPr>
    </w:p>
    <w:p w14:paraId="16476974" w14:textId="77777777" w:rsidR="00C02989" w:rsidRPr="00346B1D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6859" w14:paraId="60B707A5" w14:textId="77777777">
        <w:trPr>
          <w:trHeight w:val="276"/>
        </w:trPr>
        <w:tc>
          <w:tcPr>
            <w:tcW w:w="1142" w:type="dxa"/>
          </w:tcPr>
          <w:p w14:paraId="7D6CC709" w14:textId="1040FA37" w:rsidR="00C02989" w:rsidRDefault="0009463D">
            <w:pPr>
              <w:pStyle w:val="Obsahtabulky"/>
              <w:snapToGrid w:val="0"/>
            </w:pPr>
            <w:r>
              <w:t>3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15BCF51E" w14:textId="77777777" w:rsidR="00C02989" w:rsidRDefault="00C02989">
      <w:pPr>
        <w:rPr>
          <w:sz w:val="22"/>
          <w:szCs w:val="22"/>
        </w:rPr>
      </w:pPr>
    </w:p>
    <w:p w14:paraId="47968AA3" w14:textId="2ADC5AA0" w:rsidR="007A0D96" w:rsidRPr="00346B1D" w:rsidRDefault="0009463D" w:rsidP="007A0D96">
      <w:pPr>
        <w:rPr>
          <w:sz w:val="22"/>
          <w:szCs w:val="22"/>
        </w:rPr>
      </w:pPr>
      <w:r w:rsidRPr="00346B1D">
        <w:rPr>
          <w:sz w:val="22"/>
          <w:szCs w:val="22"/>
        </w:rPr>
        <w:t>V</w:t>
      </w:r>
      <w:r w:rsidR="007A0D96" w:rsidRPr="00346B1D">
        <w:rPr>
          <w:sz w:val="22"/>
          <w:szCs w:val="22"/>
        </w:rPr>
        <w:t xml:space="preserve"> kontextu hry </w:t>
      </w:r>
      <w:r w:rsidRPr="00346B1D">
        <w:rPr>
          <w:i/>
          <w:iCs/>
          <w:sz w:val="22"/>
          <w:szCs w:val="22"/>
        </w:rPr>
        <w:t>N</w:t>
      </w:r>
      <w:r w:rsidR="007A0D96" w:rsidRPr="00346B1D">
        <w:rPr>
          <w:i/>
          <w:iCs/>
          <w:sz w:val="22"/>
          <w:szCs w:val="22"/>
        </w:rPr>
        <w:t>oční služba</w:t>
      </w:r>
      <w:r w:rsidR="007A0D96" w:rsidRPr="00346B1D">
        <w:rPr>
          <w:sz w:val="22"/>
          <w:szCs w:val="22"/>
        </w:rPr>
        <w:t xml:space="preserve"> z</w:t>
      </w:r>
      <w:r w:rsidRPr="00346B1D">
        <w:rPr>
          <w:sz w:val="22"/>
          <w:szCs w:val="22"/>
        </w:rPr>
        <w:t>e</w:t>
      </w:r>
      <w:r w:rsidR="007A0D96" w:rsidRPr="00346B1D">
        <w:rPr>
          <w:sz w:val="22"/>
          <w:szCs w:val="22"/>
        </w:rPr>
        <w:t xml:space="preserve"> </w:t>
      </w:r>
      <w:r w:rsidRPr="00346B1D">
        <w:rPr>
          <w:sz w:val="22"/>
          <w:szCs w:val="22"/>
        </w:rPr>
        <w:t>třicátých</w:t>
      </w:r>
      <w:r w:rsidR="007A0D96" w:rsidRPr="00346B1D">
        <w:rPr>
          <w:sz w:val="22"/>
          <w:szCs w:val="22"/>
        </w:rPr>
        <w:t xml:space="preserve"> let 20. století píšete o novinářské etice. </w:t>
      </w:r>
      <w:r w:rsidRPr="00346B1D">
        <w:rPr>
          <w:sz w:val="22"/>
          <w:szCs w:val="22"/>
        </w:rPr>
        <w:t>Do jaké míry podle Vás o</w:t>
      </w:r>
      <w:r w:rsidR="007A0D96" w:rsidRPr="00346B1D">
        <w:rPr>
          <w:sz w:val="22"/>
          <w:szCs w:val="22"/>
        </w:rPr>
        <w:t>dpovídá daný pojem dobovému diskurzu? </w:t>
      </w:r>
      <w:r w:rsidRPr="00346B1D">
        <w:rPr>
          <w:sz w:val="22"/>
          <w:szCs w:val="22"/>
        </w:rPr>
        <w:t xml:space="preserve">Lze </w:t>
      </w:r>
      <w:r w:rsidR="00346B1D" w:rsidRPr="00346B1D">
        <w:rPr>
          <w:sz w:val="22"/>
          <w:szCs w:val="22"/>
        </w:rPr>
        <w:t>z</w:t>
      </w:r>
      <w:r w:rsidRPr="00346B1D">
        <w:rPr>
          <w:sz w:val="22"/>
          <w:szCs w:val="22"/>
        </w:rPr>
        <w:t>e sledované literatury vyčíst nějaké jiné dobově adekvátní označení?</w:t>
      </w:r>
      <w:r w:rsidR="00346B1D">
        <w:rPr>
          <w:sz w:val="22"/>
          <w:szCs w:val="22"/>
        </w:rPr>
        <w:t xml:space="preserve"> Pokud ano, jaké, pokud ne, proč by to tak mohlo být?</w:t>
      </w:r>
    </w:p>
    <w:p w14:paraId="3D2BA87C" w14:textId="77777777" w:rsidR="00C02989" w:rsidRDefault="00C02989">
      <w:pPr>
        <w:rPr>
          <w:sz w:val="22"/>
          <w:szCs w:val="22"/>
        </w:rPr>
      </w:pP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77777777" w:rsidR="00C02989" w:rsidRDefault="00C02989">
      <w:pPr>
        <w:rPr>
          <w:sz w:val="22"/>
          <w:szCs w:val="22"/>
        </w:rPr>
      </w:pPr>
    </w:p>
    <w:p w14:paraId="5A025C75" w14:textId="70E48180" w:rsidR="00C02989" w:rsidRDefault="0009463D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41356A21" w:rsidR="00C02989" w:rsidRDefault="0009463D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346B1D">
        <w:rPr>
          <w:sz w:val="22"/>
          <w:szCs w:val="22"/>
        </w:rPr>
        <w:t>2</w:t>
      </w:r>
      <w:r>
        <w:rPr>
          <w:sz w:val="22"/>
          <w:szCs w:val="22"/>
        </w:rPr>
        <w:t xml:space="preserve"> b.) navrhuji klasifikovat známkou </w:t>
      </w:r>
      <w:r w:rsidR="00346B1D" w:rsidRPr="00346B1D">
        <w:rPr>
          <w:b/>
          <w:bCs/>
          <w:sz w:val="22"/>
          <w:szCs w:val="22"/>
        </w:rPr>
        <w:t>C</w:t>
      </w:r>
      <w:r w:rsidRPr="00346B1D">
        <w:rPr>
          <w:b/>
          <w:bCs/>
          <w:sz w:val="22"/>
          <w:szCs w:val="22"/>
        </w:rPr>
        <w:t xml:space="preserve"> – velmi dobře</w:t>
      </w:r>
      <w:r>
        <w:rPr>
          <w:sz w:val="22"/>
          <w:szCs w:val="22"/>
        </w:rPr>
        <w:t xml:space="preserve">. 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45956B76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346B1D">
        <w:rPr>
          <w:sz w:val="22"/>
          <w:szCs w:val="22"/>
        </w:rPr>
        <w:t xml:space="preserve"> 14. 8. 2025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lastRenderedPageBreak/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DD6859" w14:paraId="58EF3D5F" w14:textId="77777777">
        <w:trPr>
          <w:trHeight w:val="276"/>
        </w:trPr>
        <w:tc>
          <w:tcPr>
            <w:tcW w:w="906" w:type="dxa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D6859" w14:paraId="73E68565" w14:textId="77777777">
        <w:trPr>
          <w:trHeight w:val="276"/>
        </w:trPr>
        <w:tc>
          <w:tcPr>
            <w:tcW w:w="906" w:type="dxa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6859" w14:paraId="09950D1E" w14:textId="77777777">
        <w:trPr>
          <w:trHeight w:val="276"/>
        </w:trPr>
        <w:tc>
          <w:tcPr>
            <w:tcW w:w="906" w:type="dxa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6859" w14:paraId="43A579AF" w14:textId="77777777">
        <w:trPr>
          <w:trHeight w:val="276"/>
        </w:trPr>
        <w:tc>
          <w:tcPr>
            <w:tcW w:w="906" w:type="dxa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6859" w14:paraId="50877D07" w14:textId="77777777">
        <w:trPr>
          <w:trHeight w:val="276"/>
        </w:trPr>
        <w:tc>
          <w:tcPr>
            <w:tcW w:w="906" w:type="dxa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6859" w14:paraId="0588A22C" w14:textId="77777777">
        <w:trPr>
          <w:trHeight w:val="276"/>
        </w:trPr>
        <w:tc>
          <w:tcPr>
            <w:tcW w:w="906" w:type="dxa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6859" w14:paraId="63DEF4A4" w14:textId="77777777">
        <w:trPr>
          <w:trHeight w:val="276"/>
        </w:trPr>
        <w:tc>
          <w:tcPr>
            <w:tcW w:w="906" w:type="dxa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3E522" w14:textId="77777777" w:rsidR="00567FFD" w:rsidRDefault="00567FFD">
      <w:r>
        <w:separator/>
      </w:r>
    </w:p>
  </w:endnote>
  <w:endnote w:type="continuationSeparator" w:id="0">
    <w:p w14:paraId="0CD9AD9C" w14:textId="77777777" w:rsidR="00567FFD" w:rsidRDefault="00567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8A789" w14:textId="77777777" w:rsidR="00567FFD" w:rsidRDefault="00567FFD">
      <w:r>
        <w:separator/>
      </w:r>
    </w:p>
  </w:footnote>
  <w:footnote w:type="continuationSeparator" w:id="0">
    <w:p w14:paraId="76CC79B9" w14:textId="77777777" w:rsidR="00567FFD" w:rsidRDefault="00567FFD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65286"/>
    <w:rsid w:val="0009463D"/>
    <w:rsid w:val="000C5765"/>
    <w:rsid w:val="000D7545"/>
    <w:rsid w:val="001D3BDC"/>
    <w:rsid w:val="00346B1D"/>
    <w:rsid w:val="00354A5B"/>
    <w:rsid w:val="004D4DE3"/>
    <w:rsid w:val="00567FFD"/>
    <w:rsid w:val="00656951"/>
    <w:rsid w:val="006D7F91"/>
    <w:rsid w:val="007A0D96"/>
    <w:rsid w:val="00877CBF"/>
    <w:rsid w:val="00983EE2"/>
    <w:rsid w:val="009F4340"/>
    <w:rsid w:val="00B60CE6"/>
    <w:rsid w:val="00BE4D74"/>
    <w:rsid w:val="00BF479B"/>
    <w:rsid w:val="00C02989"/>
    <w:rsid w:val="00DD6859"/>
    <w:rsid w:val="00FA2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03C12636-28BC-40DC-B12C-504E11B0A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751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Korábková Kateřina</cp:lastModifiedBy>
  <cp:revision>4</cp:revision>
  <cp:lastPrinted>1899-12-31T23:00:00Z</cp:lastPrinted>
  <dcterms:created xsi:type="dcterms:W3CDTF">2025-08-13T19:33:00Z</dcterms:created>
  <dcterms:modified xsi:type="dcterms:W3CDTF">2025-08-15T10:55:00Z</dcterms:modified>
</cp:coreProperties>
</file>