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13A0" w:rsidRPr="009313C5" w:rsidRDefault="001213A0" w:rsidP="001213A0">
      <w:pPr>
        <w:jc w:val="center"/>
        <w:rPr>
          <w:sz w:val="28"/>
          <w:szCs w:val="28"/>
        </w:rPr>
      </w:pPr>
      <w:r w:rsidRPr="009313C5">
        <w:rPr>
          <w:sz w:val="28"/>
          <w:szCs w:val="28"/>
        </w:rPr>
        <w:t>Gutachten</w:t>
      </w:r>
    </w:p>
    <w:p w:rsidR="001213A0" w:rsidRPr="001D7890" w:rsidRDefault="001213A0" w:rsidP="001213A0">
      <w:pPr>
        <w:jc w:val="center"/>
        <w:rPr>
          <w:sz w:val="28"/>
          <w:szCs w:val="28"/>
        </w:rPr>
      </w:pPr>
      <w:r w:rsidRPr="001D7890">
        <w:rPr>
          <w:sz w:val="28"/>
          <w:szCs w:val="28"/>
        </w:rPr>
        <w:t>Abschluss</w:t>
      </w:r>
      <w:bookmarkStart w:id="0" w:name="_GoBack"/>
      <w:bookmarkEnd w:id="0"/>
      <w:r w:rsidRPr="001D7890">
        <w:rPr>
          <w:sz w:val="28"/>
          <w:szCs w:val="28"/>
        </w:rPr>
        <w:t>arbeit 2013</w:t>
      </w:r>
    </w:p>
    <w:p w:rsidR="001213A0" w:rsidRDefault="001213A0" w:rsidP="001213A0">
      <w:r>
        <w:t xml:space="preserve">Name: </w:t>
      </w:r>
      <w:r w:rsidRPr="005932EC">
        <w:rPr>
          <w:b/>
        </w:rPr>
        <w:t xml:space="preserve">Veronika </w:t>
      </w:r>
      <w:proofErr w:type="spellStart"/>
      <w:r w:rsidRPr="005932EC">
        <w:rPr>
          <w:b/>
        </w:rPr>
        <w:t>Mrkvi</w:t>
      </w:r>
      <w:r w:rsidRPr="005932EC">
        <w:rPr>
          <w:rFonts w:cs="Times New Roman"/>
          <w:b/>
        </w:rPr>
        <w:t>č</w:t>
      </w:r>
      <w:r w:rsidRPr="005932EC">
        <w:rPr>
          <w:b/>
        </w:rPr>
        <w:t>ková</w:t>
      </w:r>
      <w:proofErr w:type="spellEnd"/>
    </w:p>
    <w:p w:rsidR="001213A0" w:rsidRDefault="001213A0" w:rsidP="001213A0">
      <w:r>
        <w:t xml:space="preserve">Thema: „Guten Appetit“ Vergleich von Speisekarten. Lexikalisch-kulturelle deutsch-tschechische Analyse </w:t>
      </w:r>
    </w:p>
    <w:p w:rsidR="00590956" w:rsidRDefault="001213A0" w:rsidP="001213A0">
      <w:pPr>
        <w:ind w:firstLine="708"/>
      </w:pPr>
      <w:r>
        <w:t>Die vorliegende Abschlussarbeit vergleicht  Form und Inhalt von Speisekarten in Bayern und Böhmen, insbesondere in</w:t>
      </w:r>
      <w:r w:rsidR="00144AD8">
        <w:t xml:space="preserve"> </w:t>
      </w:r>
      <w:r>
        <w:t xml:space="preserve">traditionellen Restaurants </w:t>
      </w:r>
      <w:r w:rsidR="00144AD8">
        <w:t>von</w:t>
      </w:r>
      <w:r>
        <w:t xml:space="preserve"> Berchtesgaden und Pilsen. </w:t>
      </w:r>
      <w:r w:rsidR="009849FD">
        <w:t xml:space="preserve">Im Anfangskapitel wird die Esskultur allgemein umrissen </w:t>
      </w:r>
      <w:proofErr w:type="gramStart"/>
      <w:r w:rsidR="009849FD">
        <w:t>( Kap.1</w:t>
      </w:r>
      <w:proofErr w:type="gramEnd"/>
      <w:r w:rsidR="009849FD">
        <w:t xml:space="preserve">). Im Anschluss daran geht es um „Internationalismen in der Sprache des Essens“(Kap.2). Kap.3 und 4 stellen die deutsche(Berchtesgadener) und die tschechische </w:t>
      </w:r>
      <w:proofErr w:type="gramStart"/>
      <w:r w:rsidR="009849FD">
        <w:t>( Pilsner</w:t>
      </w:r>
      <w:proofErr w:type="gramEnd"/>
      <w:r w:rsidR="009849FD">
        <w:t xml:space="preserve">) Küche und die Gasthäuser in diesen Orten vor. Das Hauptkapitel (Kap.5, S. 27-39) geht im Detail auf Arten und Formen der Speisekarten ein und bringt am Ende den Vergleich der Speisekarten aus den genannten Städten). Resümee, Literaturverzeichnis und Anhang beschließen die Arbeit. </w:t>
      </w:r>
    </w:p>
    <w:p w:rsidR="00DC26AD" w:rsidRDefault="00A30047" w:rsidP="001213A0">
      <w:pPr>
        <w:ind w:firstLine="708"/>
      </w:pPr>
      <w:r>
        <w:t xml:space="preserve">Das Kapitel 1 </w:t>
      </w:r>
      <w:r w:rsidR="00E25CB5">
        <w:t xml:space="preserve">führt in zureichendem Maße in das Themengebiet der Esskultur und der damit verbundenen kulturellen Identität ein. In der Einleitung zu Kapitel 2 wird zwar der sprachwissenschaftliche Begriff „Internationalismen“ mit Zitaten aus einschlägigen Werken  eingeführt („Wörter, die mindestens in drei Sprachen vorkommen“, S.11), doch wird darauf in der weiteren Arbeit nicht mehr Bezug genommen. Es geht in der Untersuchung fast ausschließlich um eine Gegenüberstellung deutscher und tschechischer Lexeme aus dem Bereich der Gastronomie. </w:t>
      </w:r>
    </w:p>
    <w:p w:rsidR="00DC26AD" w:rsidRDefault="00E25CB5" w:rsidP="001213A0">
      <w:pPr>
        <w:ind w:firstLine="708"/>
      </w:pPr>
      <w:r>
        <w:t xml:space="preserve">Positiv zu bemerken ist, dass </w:t>
      </w:r>
      <w:r w:rsidR="00DC26AD">
        <w:t xml:space="preserve">die Untersuchung auf empirischem Material und Interviews in den Restaurants basiert und die Schlussfolgerungen stringent formuliert sind. </w:t>
      </w:r>
    </w:p>
    <w:p w:rsidR="00DC26AD" w:rsidRDefault="00DC26AD" w:rsidP="001213A0">
      <w:pPr>
        <w:ind w:firstLine="708"/>
      </w:pPr>
      <w:r>
        <w:t>Es wird empfohlen, dass die Autorin nochmals eine kurze Überarbeitung, vor allem der sprachlichen Formulierungen vornimmt. Einige Beispiele für Fehler:</w:t>
      </w:r>
    </w:p>
    <w:p w:rsidR="00A30047" w:rsidRDefault="00A30047" w:rsidP="001213A0">
      <w:pPr>
        <w:ind w:firstLine="708"/>
      </w:pPr>
      <w:r>
        <w:t>Im Kapitel 2.1.2 fehlt die Übersetzung von „</w:t>
      </w:r>
      <w:proofErr w:type="spellStart"/>
      <w:r>
        <w:t>Haferl</w:t>
      </w:r>
      <w:proofErr w:type="spellEnd"/>
      <w:r>
        <w:t xml:space="preserve"> Kaffee“ ins Tschechische.  </w:t>
      </w:r>
    </w:p>
    <w:p w:rsidR="009849FD" w:rsidRDefault="00EE3558" w:rsidP="001213A0">
      <w:pPr>
        <w:ind w:firstLine="708"/>
      </w:pPr>
      <w:r>
        <w:t xml:space="preserve">Fehler grammatischer Art: „In Deutschland </w:t>
      </w:r>
      <w:r w:rsidRPr="00A30047">
        <w:rPr>
          <w:u w:val="single"/>
        </w:rPr>
        <w:t>wird</w:t>
      </w:r>
      <w:r>
        <w:t xml:space="preserve"> die Speisekarten u.a. an die </w:t>
      </w:r>
      <w:proofErr w:type="spellStart"/>
      <w:r>
        <w:t>Preisangabenverordnung</w:t>
      </w:r>
      <w:proofErr w:type="spellEnd"/>
      <w:r>
        <w:t xml:space="preserve"> </w:t>
      </w:r>
      <w:r w:rsidR="00A30047">
        <w:t>gebunden</w:t>
      </w:r>
      <w:r w:rsidR="00A30047" w:rsidRPr="00A30047">
        <w:rPr>
          <w:u w:val="single"/>
        </w:rPr>
        <w:t>, was</w:t>
      </w:r>
      <w:r w:rsidR="00A30047">
        <w:t xml:space="preserve"> ein Verweis…“(S.34)</w:t>
      </w:r>
    </w:p>
    <w:p w:rsidR="00A30047" w:rsidRDefault="00A30047" w:rsidP="001213A0">
      <w:pPr>
        <w:ind w:firstLine="708"/>
      </w:pPr>
      <w:r>
        <w:t xml:space="preserve">Fehler lexikalischer Art: „wurden zwei Musterspeisekarten ausgewählt und zur Arbeit als </w:t>
      </w:r>
      <w:r w:rsidRPr="00A30047">
        <w:rPr>
          <w:u w:val="single"/>
        </w:rPr>
        <w:t>Beilage</w:t>
      </w:r>
      <w:r>
        <w:rPr>
          <w:u w:val="single"/>
        </w:rPr>
        <w:t xml:space="preserve"> beigelegt“</w:t>
      </w:r>
      <w:r>
        <w:t xml:space="preserve">(S.35); „mit der eigenen </w:t>
      </w:r>
      <w:r>
        <w:rPr>
          <w:u w:val="single"/>
        </w:rPr>
        <w:t xml:space="preserve">Vergleichung </w:t>
      </w:r>
      <w:r>
        <w:t xml:space="preserve">beginnt (S. 36); </w:t>
      </w:r>
      <w:r w:rsidR="00DC26AD">
        <w:t xml:space="preserve">„deftige Speise, die dem </w:t>
      </w:r>
      <w:r w:rsidR="00DC26AD">
        <w:rPr>
          <w:u w:val="single"/>
        </w:rPr>
        <w:t>Kostgänger</w:t>
      </w:r>
      <w:r w:rsidR="00DC26AD">
        <w:t xml:space="preserve"> ein </w:t>
      </w:r>
      <w:proofErr w:type="spellStart"/>
      <w:r w:rsidR="00DC26AD">
        <w:t>v.Angebot</w:t>
      </w:r>
      <w:proofErr w:type="spellEnd"/>
      <w:r w:rsidR="00DC26AD">
        <w:t>…“(</w:t>
      </w:r>
      <w:r w:rsidR="003C7D57">
        <w:t>S.</w:t>
      </w:r>
      <w:r w:rsidR="00DC26AD">
        <w:t>13)</w:t>
      </w:r>
      <w:r w:rsidR="003C7D57">
        <w:t xml:space="preserve">;“ </w:t>
      </w:r>
      <w:r w:rsidR="003C7D57" w:rsidRPr="003C7D57">
        <w:rPr>
          <w:u w:val="single"/>
        </w:rPr>
        <w:t>Kalk</w:t>
      </w:r>
      <w:r w:rsidR="003C7D57">
        <w:rPr>
          <w:u w:val="single"/>
        </w:rPr>
        <w:t>übersetzung“(</w:t>
      </w:r>
      <w:r w:rsidR="003C7D57">
        <w:t>S.13</w:t>
      </w:r>
      <w:r w:rsidR="003C7D57" w:rsidRPr="00477174">
        <w:t>)</w:t>
      </w:r>
      <w:r w:rsidR="00DC26AD" w:rsidRPr="00477174">
        <w:t xml:space="preserve"> </w:t>
      </w:r>
      <w:r w:rsidR="003C7D57" w:rsidRPr="00477174">
        <w:t>(</w:t>
      </w:r>
      <w:r w:rsidR="003C7D57">
        <w:rPr>
          <w:u w:val="single"/>
        </w:rPr>
        <w:t xml:space="preserve"> </w:t>
      </w:r>
      <w:r w:rsidR="003C7D57" w:rsidRPr="003C7D57">
        <w:t xml:space="preserve">dieser </w:t>
      </w:r>
      <w:r w:rsidR="003C7D57">
        <w:t>Terminus findet sich weder im Wahrig noch im Duden Fremdwörterbuch</w:t>
      </w:r>
      <w:r w:rsidR="00477174">
        <w:t>;</w:t>
      </w:r>
      <w:r w:rsidR="003C7D57">
        <w:t xml:space="preserve"> </w:t>
      </w:r>
      <w:r w:rsidR="00477174">
        <w:t xml:space="preserve">in Bußmanns „Lexikon der Sprachwissenschaft“ wird ‚Lehnübersetzung‘ als Oberbegriff für semantische Entlehnungen angegeben, </w:t>
      </w:r>
      <w:r w:rsidR="003C7D57">
        <w:t>I.H.)</w:t>
      </w:r>
      <w:r w:rsidR="003C7D57" w:rsidRPr="003C7D57">
        <w:t xml:space="preserve"> </w:t>
      </w:r>
    </w:p>
    <w:p w:rsidR="0076111F" w:rsidRDefault="0076111F" w:rsidP="001213A0">
      <w:pPr>
        <w:ind w:firstLine="708"/>
      </w:pPr>
      <w:r>
        <w:t>Die vorliegende Arbeit entspricht den Anforderungen an eine Abschlussarbeit.</w:t>
      </w:r>
    </w:p>
    <w:p w:rsidR="0076111F" w:rsidRPr="0076111F" w:rsidRDefault="00C21868" w:rsidP="001213A0">
      <w:pPr>
        <w:ind w:firstLine="708"/>
        <w:rPr>
          <w:lang w:val="en-US"/>
        </w:rPr>
      </w:pPr>
      <w:r>
        <w:rPr>
          <w:lang w:val="en-US"/>
        </w:rPr>
        <w:t xml:space="preserve">Note: </w:t>
      </w:r>
      <w:proofErr w:type="spellStart"/>
      <w:r>
        <w:rPr>
          <w:lang w:val="en-US"/>
        </w:rPr>
        <w:t>velmi</w:t>
      </w:r>
      <w:proofErr w:type="spellEnd"/>
      <w:r>
        <w:rPr>
          <w:lang w:val="en-US"/>
        </w:rPr>
        <w:t xml:space="preserve"> </w:t>
      </w:r>
      <w:proofErr w:type="spellStart"/>
      <w:r>
        <w:rPr>
          <w:lang w:val="en-US"/>
        </w:rPr>
        <w:t>dobře</w:t>
      </w:r>
      <w:proofErr w:type="spellEnd"/>
      <w:r w:rsidR="00706A36">
        <w:rPr>
          <w:lang w:val="en-US"/>
        </w:rPr>
        <w:t xml:space="preserve"> (2)</w:t>
      </w:r>
    </w:p>
    <w:p w:rsidR="0076111F" w:rsidRPr="0076111F" w:rsidRDefault="0076111F" w:rsidP="001213A0">
      <w:pPr>
        <w:ind w:firstLine="708"/>
        <w:rPr>
          <w:lang w:val="en-US"/>
        </w:rPr>
      </w:pPr>
      <w:r w:rsidRPr="0076111F">
        <w:rPr>
          <w:lang w:val="en-US"/>
        </w:rPr>
        <w:t>Pardubice, 7.05.2013</w:t>
      </w:r>
      <w:r w:rsidRPr="0076111F">
        <w:rPr>
          <w:lang w:val="en-US"/>
        </w:rPr>
        <w:tab/>
      </w:r>
      <w:r w:rsidRPr="0076111F">
        <w:rPr>
          <w:lang w:val="en-US"/>
        </w:rPr>
        <w:tab/>
      </w:r>
      <w:r w:rsidRPr="0076111F">
        <w:rPr>
          <w:lang w:val="en-US"/>
        </w:rPr>
        <w:tab/>
      </w:r>
      <w:r w:rsidRPr="0076111F">
        <w:rPr>
          <w:lang w:val="en-US"/>
        </w:rPr>
        <w:tab/>
        <w:t>Prof. Dr. Ingrid Hudabiunigg</w:t>
      </w:r>
    </w:p>
    <w:sectPr w:rsidR="0076111F" w:rsidRPr="0076111F" w:rsidSect="00B50E84">
      <w:pgSz w:w="11906" w:h="16838"/>
      <w:pgMar w:top="1418"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13A0"/>
    <w:rsid w:val="001213A0"/>
    <w:rsid w:val="00144AD8"/>
    <w:rsid w:val="003C7D57"/>
    <w:rsid w:val="00477174"/>
    <w:rsid w:val="00590956"/>
    <w:rsid w:val="005932EC"/>
    <w:rsid w:val="00706A36"/>
    <w:rsid w:val="0076111F"/>
    <w:rsid w:val="008C15C8"/>
    <w:rsid w:val="009849FD"/>
    <w:rsid w:val="00A30047"/>
    <w:rsid w:val="00B50E84"/>
    <w:rsid w:val="00C21868"/>
    <w:rsid w:val="00DC26AD"/>
    <w:rsid w:val="00E25CB5"/>
    <w:rsid w:val="00EE355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ajorBidi"/>
        <w:sz w:val="24"/>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213A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ormatvorlage1">
    <w:name w:val="Formatvorlage1"/>
    <w:basedOn w:val="Normln"/>
    <w:qFormat/>
    <w:rsid w:val="00B50E84"/>
    <w:pPr>
      <w:spacing w:after="0" w:line="240" w:lineRule="auto"/>
    </w:pPr>
    <w:rPr>
      <w:rFonts w:eastAsia="Times New Roman"/>
      <w:lang w:val="en-US"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ajorBidi"/>
        <w:sz w:val="24"/>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213A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Formatvorlage1">
    <w:name w:val="Formatvorlage1"/>
    <w:basedOn w:val="Normln"/>
    <w:qFormat/>
    <w:rsid w:val="00B50E84"/>
    <w:pPr>
      <w:spacing w:after="0" w:line="240" w:lineRule="auto"/>
    </w:pPr>
    <w:rPr>
      <w:rFonts w:eastAsia="Times New Roman"/>
      <w:lang w:val="en-U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366</Words>
  <Characters>2165</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dc:creator>
  <cp:lastModifiedBy>spravce</cp:lastModifiedBy>
  <cp:revision>5</cp:revision>
  <dcterms:created xsi:type="dcterms:W3CDTF">2013-05-07T10:23:00Z</dcterms:created>
  <dcterms:modified xsi:type="dcterms:W3CDTF">2013-05-20T07:44:00Z</dcterms:modified>
</cp:coreProperties>
</file>