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028" w:rsidRDefault="00826028" w:rsidP="00826028">
      <w:pPr>
        <w:rPr>
          <w:b/>
          <w:sz w:val="20"/>
          <w:szCs w:val="20"/>
        </w:rPr>
      </w:pPr>
      <w:r w:rsidRPr="00826028">
        <w:rPr>
          <w:rFonts w:asciiTheme="minorHAnsi" w:hAnsiTheme="minorHAnsi"/>
          <w:b/>
          <w:sz w:val="20"/>
          <w:szCs w:val="18"/>
          <w:lang w:val="en-GB"/>
        </w:rPr>
        <w:t>PHOTOCATALYTIC OXIDATION OF NON-STEROIDAL ANTIINFLAMMATORY DRUGS</w:t>
      </w:r>
    </w:p>
    <w:p w:rsidR="00AA58F3" w:rsidRPr="004E050A" w:rsidRDefault="00AA58F3" w:rsidP="00AA58F3">
      <w:pPr>
        <w:rPr>
          <w:rFonts w:asciiTheme="minorHAnsi" w:hAnsiTheme="minorHAnsi"/>
          <w:sz w:val="20"/>
          <w:szCs w:val="20"/>
          <w:lang w:val="en-GB"/>
        </w:rPr>
      </w:pPr>
    </w:p>
    <w:p w:rsidR="00826028" w:rsidRPr="00826028" w:rsidRDefault="00826028" w:rsidP="00826028">
      <w:pPr>
        <w:rPr>
          <w:rFonts w:asciiTheme="minorHAnsi" w:hAnsiTheme="minorHAnsi"/>
          <w:sz w:val="20"/>
          <w:szCs w:val="20"/>
          <w:lang w:val="en-GB"/>
        </w:rPr>
      </w:pPr>
      <w:r w:rsidRPr="00826028">
        <w:rPr>
          <w:rFonts w:asciiTheme="minorHAnsi" w:hAnsiTheme="minorHAnsi"/>
          <w:b/>
          <w:sz w:val="20"/>
          <w:szCs w:val="20"/>
          <w:u w:val="single"/>
          <w:lang w:val="en-GB"/>
        </w:rPr>
        <w:t>Trousil V.</w:t>
      </w:r>
      <w:r w:rsidRPr="00881CF2">
        <w:rPr>
          <w:rFonts w:asciiTheme="minorHAnsi" w:hAnsiTheme="minorHAnsi"/>
          <w:b/>
          <w:sz w:val="20"/>
          <w:szCs w:val="20"/>
          <w:u w:val="single"/>
          <w:vertAlign w:val="superscript"/>
          <w:lang w:val="en-GB"/>
        </w:rPr>
        <w:t>1</w:t>
      </w:r>
      <w:r>
        <w:rPr>
          <w:sz w:val="20"/>
          <w:szCs w:val="20"/>
        </w:rPr>
        <w:t xml:space="preserve">, </w:t>
      </w:r>
      <w:r w:rsidRPr="00826028">
        <w:rPr>
          <w:rFonts w:asciiTheme="minorHAnsi" w:hAnsiTheme="minorHAnsi"/>
          <w:sz w:val="20"/>
          <w:szCs w:val="20"/>
          <w:lang w:val="en-GB"/>
        </w:rPr>
        <w:t>Blažková Z.</w:t>
      </w:r>
      <w:r w:rsidRPr="00881CF2">
        <w:rPr>
          <w:rFonts w:asciiTheme="minorHAnsi" w:hAnsiTheme="minorHAnsi"/>
          <w:sz w:val="20"/>
          <w:szCs w:val="20"/>
          <w:vertAlign w:val="superscript"/>
          <w:lang w:val="en-GB"/>
        </w:rPr>
        <w:t>1</w:t>
      </w:r>
      <w:r w:rsidRPr="00826028">
        <w:rPr>
          <w:rFonts w:asciiTheme="minorHAnsi" w:hAnsiTheme="minorHAnsi"/>
          <w:sz w:val="20"/>
          <w:szCs w:val="20"/>
          <w:lang w:val="en-GB"/>
        </w:rPr>
        <w:t>, Muselíková J</w:t>
      </w:r>
      <w:r w:rsidRPr="00881CF2">
        <w:rPr>
          <w:rFonts w:asciiTheme="minorHAnsi" w:hAnsiTheme="minorHAnsi"/>
          <w:sz w:val="20"/>
          <w:szCs w:val="20"/>
          <w:vertAlign w:val="superscript"/>
          <w:lang w:val="en-GB"/>
        </w:rPr>
        <w:t>1</w:t>
      </w:r>
      <w:r w:rsidRPr="00826028">
        <w:rPr>
          <w:rFonts w:asciiTheme="minorHAnsi" w:hAnsiTheme="minorHAnsi"/>
          <w:sz w:val="20"/>
          <w:szCs w:val="20"/>
          <w:lang w:val="en-GB"/>
        </w:rPr>
        <w:t>, Slehová E.1, Palarčík J</w:t>
      </w:r>
      <w:r w:rsidRPr="00881CF2">
        <w:rPr>
          <w:rFonts w:asciiTheme="minorHAnsi" w:hAnsiTheme="minorHAnsi"/>
          <w:sz w:val="20"/>
          <w:szCs w:val="20"/>
          <w:vertAlign w:val="superscript"/>
          <w:lang w:val="en-GB"/>
        </w:rPr>
        <w:t>1</w:t>
      </w:r>
      <w:r w:rsidRPr="00826028">
        <w:rPr>
          <w:rFonts w:asciiTheme="minorHAnsi" w:hAnsiTheme="minorHAnsi"/>
          <w:sz w:val="20"/>
          <w:szCs w:val="20"/>
          <w:lang w:val="en-GB"/>
        </w:rPr>
        <w:t>., Machalický O.</w:t>
      </w:r>
      <w:r w:rsidRPr="00881CF2">
        <w:rPr>
          <w:rFonts w:asciiTheme="minorHAnsi" w:hAnsiTheme="minorHAnsi"/>
          <w:sz w:val="20"/>
          <w:szCs w:val="20"/>
          <w:vertAlign w:val="superscript"/>
          <w:lang w:val="en-GB"/>
        </w:rPr>
        <w:t>2</w:t>
      </w:r>
      <w:r w:rsidRPr="00826028">
        <w:rPr>
          <w:rFonts w:asciiTheme="minorHAnsi" w:hAnsiTheme="minorHAnsi"/>
          <w:sz w:val="20"/>
          <w:szCs w:val="20"/>
          <w:lang w:val="en-GB"/>
        </w:rPr>
        <w:t>, Cakl J</w:t>
      </w:r>
      <w:r w:rsidRPr="00881CF2">
        <w:rPr>
          <w:rFonts w:asciiTheme="minorHAnsi" w:hAnsiTheme="minorHAnsi"/>
          <w:sz w:val="20"/>
          <w:szCs w:val="20"/>
          <w:vertAlign w:val="superscript"/>
          <w:lang w:val="en-GB"/>
        </w:rPr>
        <w:t>1</w:t>
      </w:r>
      <w:r w:rsidRPr="00826028">
        <w:rPr>
          <w:rFonts w:asciiTheme="minorHAnsi" w:hAnsiTheme="minorHAnsi"/>
          <w:sz w:val="20"/>
          <w:szCs w:val="20"/>
          <w:lang w:val="en-GB"/>
        </w:rPr>
        <w:t>.</w:t>
      </w:r>
    </w:p>
    <w:p w:rsidR="00AA58F3" w:rsidRDefault="00AA58F3" w:rsidP="00867785">
      <w:pPr>
        <w:rPr>
          <w:rFonts w:asciiTheme="minorHAnsi" w:hAnsiTheme="minorHAnsi"/>
          <w:sz w:val="20"/>
          <w:szCs w:val="20"/>
          <w:lang w:val="en-GB"/>
        </w:rPr>
      </w:pPr>
    </w:p>
    <w:p w:rsidR="00826028" w:rsidRPr="00826028" w:rsidRDefault="00826028" w:rsidP="00826028">
      <w:pPr>
        <w:rPr>
          <w:rFonts w:asciiTheme="minorHAnsi" w:hAnsiTheme="minorHAnsi"/>
          <w:i/>
          <w:sz w:val="20"/>
          <w:szCs w:val="20"/>
          <w:lang w:val="en-GB"/>
        </w:rPr>
      </w:pPr>
      <w:r w:rsidRPr="00881CF2">
        <w:rPr>
          <w:rFonts w:asciiTheme="minorHAnsi" w:hAnsiTheme="minorHAnsi"/>
          <w:i/>
          <w:sz w:val="20"/>
          <w:szCs w:val="20"/>
          <w:vertAlign w:val="superscript"/>
          <w:lang w:val="en-GB"/>
        </w:rPr>
        <w:t>1</w:t>
      </w:r>
      <w:r w:rsidR="00723D4E" w:rsidRPr="00723D4E">
        <w:rPr>
          <w:rFonts w:asciiTheme="minorHAnsi" w:hAnsiTheme="minorHAnsi"/>
          <w:i/>
          <w:sz w:val="20"/>
          <w:szCs w:val="20"/>
          <w:lang w:val="en-GB"/>
        </w:rPr>
        <w:t xml:space="preserve"> University of Pardubice</w:t>
      </w:r>
      <w:r w:rsidRPr="00826028">
        <w:rPr>
          <w:rFonts w:asciiTheme="minorHAnsi" w:hAnsiTheme="minorHAnsi"/>
          <w:i/>
          <w:sz w:val="20"/>
          <w:szCs w:val="20"/>
          <w:lang w:val="en-GB"/>
        </w:rPr>
        <w:t xml:space="preserve">, </w:t>
      </w:r>
      <w:r w:rsidR="00723D4E" w:rsidRPr="00723D4E">
        <w:rPr>
          <w:rFonts w:asciiTheme="minorHAnsi" w:hAnsiTheme="minorHAnsi"/>
          <w:i/>
          <w:sz w:val="20"/>
          <w:szCs w:val="20"/>
          <w:lang w:val="en-GB"/>
        </w:rPr>
        <w:t>Faculty of Chemical Technology</w:t>
      </w:r>
      <w:r w:rsidR="00723D4E">
        <w:rPr>
          <w:rFonts w:asciiTheme="minorHAnsi" w:hAnsiTheme="minorHAnsi"/>
          <w:i/>
          <w:sz w:val="20"/>
          <w:szCs w:val="20"/>
          <w:lang w:val="en-GB"/>
        </w:rPr>
        <w:t xml:space="preserve">, </w:t>
      </w:r>
      <w:r w:rsidR="00723D4E" w:rsidRPr="00723D4E">
        <w:rPr>
          <w:rFonts w:asciiTheme="minorHAnsi" w:hAnsiTheme="minorHAnsi"/>
          <w:i/>
          <w:sz w:val="20"/>
          <w:szCs w:val="20"/>
          <w:lang w:val="en-GB"/>
        </w:rPr>
        <w:t>Institute of Environmental and Chemical Engineering</w:t>
      </w:r>
      <w:r w:rsidRPr="00826028">
        <w:rPr>
          <w:rFonts w:asciiTheme="minorHAnsi" w:hAnsiTheme="minorHAnsi"/>
          <w:i/>
          <w:sz w:val="20"/>
          <w:szCs w:val="20"/>
          <w:lang w:val="en-GB"/>
        </w:rPr>
        <w:t xml:space="preserve">, Pardubice, </w:t>
      </w:r>
      <w:r w:rsidR="00723D4E">
        <w:rPr>
          <w:rFonts w:asciiTheme="minorHAnsi" w:hAnsiTheme="minorHAnsi"/>
          <w:i/>
          <w:sz w:val="20"/>
          <w:szCs w:val="20"/>
          <w:lang w:val="en-GB"/>
        </w:rPr>
        <w:t>Czech Republic</w:t>
      </w:r>
    </w:p>
    <w:p w:rsidR="00723D4E" w:rsidRPr="00826028" w:rsidRDefault="00826028" w:rsidP="00723D4E">
      <w:pPr>
        <w:rPr>
          <w:rFonts w:asciiTheme="minorHAnsi" w:hAnsiTheme="minorHAnsi"/>
          <w:i/>
          <w:sz w:val="20"/>
          <w:szCs w:val="20"/>
          <w:lang w:val="en-GB"/>
        </w:rPr>
      </w:pPr>
      <w:r w:rsidRPr="00881CF2">
        <w:rPr>
          <w:rFonts w:asciiTheme="minorHAnsi" w:hAnsiTheme="minorHAnsi"/>
          <w:i/>
          <w:sz w:val="20"/>
          <w:szCs w:val="20"/>
          <w:vertAlign w:val="superscript"/>
          <w:lang w:val="en-GB"/>
        </w:rPr>
        <w:t xml:space="preserve">2 </w:t>
      </w:r>
      <w:r w:rsidR="00723D4E" w:rsidRPr="00723D4E">
        <w:rPr>
          <w:rFonts w:asciiTheme="minorHAnsi" w:hAnsiTheme="minorHAnsi"/>
          <w:i/>
          <w:sz w:val="20"/>
          <w:szCs w:val="20"/>
          <w:lang w:val="en-GB"/>
        </w:rPr>
        <w:t>University of Pardubice</w:t>
      </w:r>
      <w:r w:rsidR="00723D4E" w:rsidRPr="00826028">
        <w:rPr>
          <w:rFonts w:asciiTheme="minorHAnsi" w:hAnsiTheme="minorHAnsi"/>
          <w:i/>
          <w:sz w:val="20"/>
          <w:szCs w:val="20"/>
          <w:lang w:val="en-GB"/>
        </w:rPr>
        <w:t xml:space="preserve">, </w:t>
      </w:r>
      <w:r w:rsidR="00723D4E" w:rsidRPr="00723D4E">
        <w:rPr>
          <w:rFonts w:asciiTheme="minorHAnsi" w:hAnsiTheme="minorHAnsi"/>
          <w:i/>
          <w:sz w:val="20"/>
          <w:szCs w:val="20"/>
          <w:lang w:val="en-GB"/>
        </w:rPr>
        <w:t>Faculty of Chemical Technology</w:t>
      </w:r>
      <w:r w:rsidR="00723D4E" w:rsidRPr="00826028">
        <w:rPr>
          <w:rFonts w:asciiTheme="minorHAnsi" w:hAnsiTheme="minorHAnsi"/>
          <w:i/>
          <w:sz w:val="20"/>
          <w:szCs w:val="20"/>
          <w:lang w:val="en-GB"/>
        </w:rPr>
        <w:t xml:space="preserve">, </w:t>
      </w:r>
      <w:r w:rsidR="00723D4E" w:rsidRPr="00723D4E">
        <w:rPr>
          <w:rFonts w:asciiTheme="minorHAnsi" w:hAnsiTheme="minorHAnsi"/>
          <w:i/>
          <w:sz w:val="20"/>
          <w:szCs w:val="20"/>
          <w:lang w:val="en-GB"/>
        </w:rPr>
        <w:t>Institute of Organic Chemistry and Technology</w:t>
      </w:r>
      <w:r w:rsidR="00723D4E" w:rsidRPr="00826028">
        <w:rPr>
          <w:rFonts w:asciiTheme="minorHAnsi" w:hAnsiTheme="minorHAnsi"/>
          <w:i/>
          <w:sz w:val="20"/>
          <w:szCs w:val="20"/>
          <w:lang w:val="en-GB"/>
        </w:rPr>
        <w:t xml:space="preserve">, Pardubice, </w:t>
      </w:r>
      <w:r w:rsidR="00723D4E">
        <w:rPr>
          <w:rFonts w:asciiTheme="minorHAnsi" w:hAnsiTheme="minorHAnsi"/>
          <w:i/>
          <w:sz w:val="20"/>
          <w:szCs w:val="20"/>
          <w:lang w:val="en-GB"/>
        </w:rPr>
        <w:t>Czech Republic</w:t>
      </w:r>
    </w:p>
    <w:p w:rsidR="00723D4E" w:rsidRDefault="00723D4E" w:rsidP="00AA58F3">
      <w:pPr>
        <w:rPr>
          <w:rFonts w:asciiTheme="minorHAnsi" w:hAnsiTheme="minorHAnsi"/>
          <w:i/>
          <w:sz w:val="20"/>
          <w:szCs w:val="20"/>
          <w:lang w:val="en-GB"/>
        </w:rPr>
      </w:pPr>
    </w:p>
    <w:p w:rsidR="00AA58F3" w:rsidRPr="004E050A" w:rsidRDefault="00826028" w:rsidP="00AA58F3">
      <w:pPr>
        <w:rPr>
          <w:rFonts w:asciiTheme="minorHAnsi" w:hAnsiTheme="minorHAnsi"/>
          <w:i/>
          <w:sz w:val="20"/>
          <w:szCs w:val="20"/>
          <w:lang w:val="en-GB"/>
        </w:rPr>
      </w:pPr>
      <w:r>
        <w:rPr>
          <w:rFonts w:asciiTheme="minorHAnsi" w:hAnsiTheme="minorHAnsi"/>
          <w:i/>
          <w:sz w:val="20"/>
          <w:szCs w:val="20"/>
          <w:lang w:val="en-GB"/>
        </w:rPr>
        <w:t>Vojtech.trousil</w:t>
      </w:r>
      <w:r w:rsidR="00AA58F3" w:rsidRPr="004E050A">
        <w:rPr>
          <w:rFonts w:asciiTheme="minorHAnsi" w:hAnsiTheme="minorHAnsi"/>
          <w:i/>
          <w:sz w:val="20"/>
          <w:szCs w:val="20"/>
          <w:lang w:val="en-GB"/>
        </w:rPr>
        <w:t>@</w:t>
      </w:r>
      <w:r>
        <w:rPr>
          <w:rFonts w:asciiTheme="minorHAnsi" w:hAnsiTheme="minorHAnsi"/>
          <w:i/>
          <w:sz w:val="20"/>
          <w:szCs w:val="20"/>
          <w:lang w:val="en-GB"/>
        </w:rPr>
        <w:t>upce</w:t>
      </w:r>
      <w:r w:rsidR="00AA58F3" w:rsidRPr="004E050A">
        <w:rPr>
          <w:rFonts w:asciiTheme="minorHAnsi" w:hAnsiTheme="minorHAnsi"/>
          <w:i/>
          <w:sz w:val="20"/>
          <w:szCs w:val="20"/>
          <w:lang w:val="en-GB"/>
        </w:rPr>
        <w:t xml:space="preserve">.cz  </w:t>
      </w:r>
    </w:p>
    <w:p w:rsidR="00AA58F3" w:rsidRPr="004E050A" w:rsidRDefault="00AA58F3" w:rsidP="00AA58F3">
      <w:pPr>
        <w:jc w:val="both"/>
        <w:rPr>
          <w:rFonts w:asciiTheme="minorHAnsi" w:hAnsiTheme="minorHAnsi"/>
          <w:sz w:val="20"/>
          <w:szCs w:val="20"/>
          <w:lang w:val="en-GB"/>
        </w:rPr>
      </w:pPr>
    </w:p>
    <w:p w:rsidR="0025327D" w:rsidRDefault="0025327D" w:rsidP="0025327D">
      <w:pPr>
        <w:pStyle w:val="Nadpis2"/>
        <w:rPr>
          <w:rFonts w:asciiTheme="minorHAnsi" w:hAnsiTheme="minorHAnsi"/>
          <w:sz w:val="24"/>
          <w:szCs w:val="24"/>
        </w:rPr>
      </w:pPr>
      <w:r w:rsidRPr="004E050A">
        <w:rPr>
          <w:rFonts w:asciiTheme="minorHAnsi" w:hAnsiTheme="minorHAnsi"/>
          <w:sz w:val="24"/>
          <w:szCs w:val="24"/>
        </w:rPr>
        <w:t>Abstract</w:t>
      </w:r>
    </w:p>
    <w:p w:rsidR="00826028" w:rsidRPr="00826028" w:rsidRDefault="00826028" w:rsidP="00826028">
      <w:pPr>
        <w:pStyle w:val="Body"/>
        <w:rPr>
          <w:rFonts w:asciiTheme="minorHAnsi" w:hAnsiTheme="minorHAnsi"/>
          <w:noProof w:val="0"/>
          <w:lang w:val="en-GB"/>
        </w:rPr>
      </w:pPr>
      <w:r w:rsidRPr="00826028">
        <w:rPr>
          <w:rFonts w:asciiTheme="minorHAnsi" w:hAnsiTheme="minorHAnsi"/>
          <w:noProof w:val="0"/>
          <w:lang w:val="en-GB"/>
        </w:rPr>
        <w:t>Pharmaceuticals diclofenac and naproxen belong to class of non-steroidal anti-inflammatory drugs (NSAIDs). These substances are very often found in outlets of WWTP or in surface waters, because among all classes of pharmaceuticals, they are frequently prescribed and purchased.</w:t>
      </w:r>
    </w:p>
    <w:p w:rsidR="00826028" w:rsidRPr="00826028" w:rsidRDefault="00826028" w:rsidP="00826028">
      <w:pPr>
        <w:pStyle w:val="Body"/>
        <w:rPr>
          <w:rFonts w:asciiTheme="minorHAnsi" w:hAnsiTheme="minorHAnsi"/>
          <w:noProof w:val="0"/>
          <w:lang w:val="en-GB"/>
        </w:rPr>
      </w:pPr>
      <w:r w:rsidRPr="00826028">
        <w:rPr>
          <w:rFonts w:asciiTheme="minorHAnsi" w:hAnsiTheme="minorHAnsi"/>
          <w:noProof w:val="0"/>
          <w:lang w:val="en-GB"/>
        </w:rPr>
        <w:t>These substances have by their nature a strong biological effect, so non-target organisms are affected. For example diclofenac causes cytological malformations of liver tissue within a concentration 28 μg/L (</w:t>
      </w:r>
      <w:r w:rsidRPr="00881CF2">
        <w:rPr>
          <w:rFonts w:asciiTheme="minorHAnsi" w:hAnsiTheme="minorHAnsi"/>
          <w:i/>
          <w:noProof w:val="0"/>
          <w:lang w:val="en-GB"/>
        </w:rPr>
        <w:t>O. mykkis</w:t>
      </w:r>
      <w:r w:rsidRPr="00826028">
        <w:rPr>
          <w:rFonts w:asciiTheme="minorHAnsi" w:hAnsiTheme="minorHAnsi"/>
          <w:noProof w:val="0"/>
          <w:lang w:val="en-GB"/>
        </w:rPr>
        <w:t>). Sensitive organisms to naproxen are crustaceans, where the EC50 for (</w:t>
      </w:r>
      <w:r w:rsidRPr="00881CF2">
        <w:rPr>
          <w:rFonts w:asciiTheme="minorHAnsi" w:hAnsiTheme="minorHAnsi"/>
          <w:i/>
          <w:noProof w:val="0"/>
          <w:lang w:val="en-GB"/>
        </w:rPr>
        <w:t>C. dubia</w:t>
      </w:r>
      <w:r w:rsidRPr="00826028">
        <w:rPr>
          <w:rFonts w:asciiTheme="minorHAnsi" w:hAnsiTheme="minorHAnsi"/>
          <w:noProof w:val="0"/>
          <w:lang w:val="en-GB"/>
        </w:rPr>
        <w:t>) is 330 μg/L, but degradation products of this drug are significantly more toxic. EC</w:t>
      </w:r>
      <w:r w:rsidRPr="00881CF2">
        <w:rPr>
          <w:rFonts w:asciiTheme="minorHAnsi" w:hAnsiTheme="minorHAnsi"/>
          <w:noProof w:val="0"/>
          <w:vertAlign w:val="subscript"/>
          <w:lang w:val="en-GB"/>
        </w:rPr>
        <w:t>50</w:t>
      </w:r>
      <w:r w:rsidRPr="00826028">
        <w:rPr>
          <w:rFonts w:asciiTheme="minorHAnsi" w:hAnsiTheme="minorHAnsi"/>
          <w:noProof w:val="0"/>
          <w:lang w:val="en-GB"/>
        </w:rPr>
        <w:t xml:space="preserve"> for degradation products of naproxen to </w:t>
      </w:r>
      <w:r w:rsidRPr="00881CF2">
        <w:rPr>
          <w:rFonts w:asciiTheme="minorHAnsi" w:hAnsiTheme="minorHAnsi"/>
          <w:i/>
          <w:noProof w:val="0"/>
          <w:lang w:val="en-GB"/>
        </w:rPr>
        <w:t>C. dubia</w:t>
      </w:r>
      <w:r w:rsidRPr="00826028">
        <w:rPr>
          <w:rFonts w:asciiTheme="minorHAnsi" w:hAnsiTheme="minorHAnsi"/>
          <w:noProof w:val="0"/>
          <w:lang w:val="en-GB"/>
        </w:rPr>
        <w:t xml:space="preserve"> are less than 100 μg/L.</w:t>
      </w:r>
    </w:p>
    <w:p w:rsidR="00826028" w:rsidRPr="00826028" w:rsidRDefault="00826028" w:rsidP="00826028">
      <w:pPr>
        <w:pStyle w:val="Body"/>
        <w:rPr>
          <w:rFonts w:asciiTheme="minorHAnsi" w:hAnsiTheme="minorHAnsi"/>
          <w:noProof w:val="0"/>
          <w:lang w:val="en-GB"/>
        </w:rPr>
      </w:pPr>
      <w:r w:rsidRPr="00826028">
        <w:rPr>
          <w:rFonts w:asciiTheme="minorHAnsi" w:hAnsiTheme="minorHAnsi"/>
          <w:noProof w:val="0"/>
          <w:lang w:val="en-GB"/>
        </w:rPr>
        <w:t> Diclofenac and naproxen (500 μg/L) were from model water samples removed by heterogeneous photocatalysis in 4L batch reactor. After irradiation of the catalyst, the system produces •OH radicals, which causes destruction of the organic substance. As the catalyst used was 0.5 g/L titanium dioxide (TiO</w:t>
      </w:r>
      <w:r w:rsidRPr="00881CF2">
        <w:rPr>
          <w:rFonts w:asciiTheme="minorHAnsi" w:hAnsiTheme="minorHAnsi"/>
          <w:noProof w:val="0"/>
          <w:vertAlign w:val="subscript"/>
          <w:lang w:val="en-GB"/>
        </w:rPr>
        <w:t>2</w:t>
      </w:r>
      <w:r w:rsidRPr="00826028">
        <w:rPr>
          <w:rFonts w:asciiTheme="minorHAnsi" w:hAnsiTheme="minorHAnsi"/>
          <w:noProof w:val="0"/>
          <w:lang w:val="en-GB"/>
        </w:rPr>
        <w:t>, Precheza</w:t>
      </w:r>
      <w:r w:rsidR="00881CF2">
        <w:rPr>
          <w:rFonts w:asciiTheme="minorHAnsi" w:hAnsiTheme="minorHAnsi"/>
          <w:noProof w:val="0"/>
          <w:lang w:val="en-GB"/>
        </w:rPr>
        <w:t xml:space="preserve"> </w:t>
      </w:r>
      <w:r w:rsidRPr="00826028">
        <w:rPr>
          <w:rFonts w:asciiTheme="minorHAnsi" w:hAnsiTheme="minorHAnsi"/>
          <w:noProof w:val="0"/>
          <w:lang w:val="en-GB"/>
        </w:rPr>
        <w:t>a.s.). As a source of UV radiation was used UV LED diode Luminus, with peak wavelength at 365 nm. At the same time the effect of hydrogen peroxide (H</w:t>
      </w:r>
      <w:r w:rsidRPr="00881CF2">
        <w:rPr>
          <w:rFonts w:asciiTheme="minorHAnsi" w:hAnsiTheme="minorHAnsi"/>
          <w:noProof w:val="0"/>
          <w:vertAlign w:val="subscript"/>
          <w:lang w:val="en-GB"/>
        </w:rPr>
        <w:t>2</w:t>
      </w:r>
      <w:r w:rsidRPr="00826028">
        <w:rPr>
          <w:rFonts w:asciiTheme="minorHAnsi" w:hAnsiTheme="minorHAnsi"/>
          <w:noProof w:val="0"/>
          <w:lang w:val="en-GB"/>
        </w:rPr>
        <w:t>O</w:t>
      </w:r>
      <w:r w:rsidRPr="00881CF2">
        <w:rPr>
          <w:rFonts w:asciiTheme="minorHAnsi" w:hAnsiTheme="minorHAnsi"/>
          <w:noProof w:val="0"/>
          <w:vertAlign w:val="subscript"/>
          <w:lang w:val="en-GB"/>
        </w:rPr>
        <w:t>2</w:t>
      </w:r>
      <w:r w:rsidRPr="00826028">
        <w:rPr>
          <w:rFonts w:asciiTheme="minorHAnsi" w:hAnsiTheme="minorHAnsi"/>
          <w:noProof w:val="0"/>
          <w:lang w:val="en-GB"/>
        </w:rPr>
        <w:t>) or effect of pH was determined. Samples were preconcentrated by solid phase extraction (SPE) and analyzed by high performance liquid chromatography (HPLC). At the same time characteristics and capability of pharmaceutical removal from inlet of WWTP were discussed.</w:t>
      </w:r>
    </w:p>
    <w:p w:rsidR="00826028" w:rsidRDefault="00826028" w:rsidP="0025327D">
      <w:pPr>
        <w:pStyle w:val="Nadpis2"/>
        <w:rPr>
          <w:rFonts w:asciiTheme="minorHAnsi" w:hAnsiTheme="minorHAnsi"/>
          <w:sz w:val="24"/>
          <w:szCs w:val="24"/>
        </w:rPr>
      </w:pPr>
    </w:p>
    <w:p w:rsidR="00826028" w:rsidRDefault="00826028" w:rsidP="00826028">
      <w:pPr>
        <w:pStyle w:val="Nadpis2"/>
        <w:rPr>
          <w:rFonts w:asciiTheme="minorHAnsi" w:hAnsiTheme="minorHAnsi"/>
          <w:sz w:val="24"/>
          <w:szCs w:val="24"/>
        </w:rPr>
      </w:pPr>
      <w:r>
        <w:rPr>
          <w:rFonts w:asciiTheme="minorHAnsi" w:hAnsiTheme="minorHAnsi"/>
          <w:sz w:val="24"/>
          <w:szCs w:val="24"/>
        </w:rPr>
        <w:t>Introduction</w:t>
      </w:r>
    </w:p>
    <w:p w:rsidR="00613EAA" w:rsidRDefault="005D592C" w:rsidP="000A1154">
      <w:pPr>
        <w:jc w:val="both"/>
        <w:rPr>
          <w:rFonts w:asciiTheme="minorHAnsi" w:hAnsiTheme="minorHAnsi"/>
          <w:sz w:val="20"/>
          <w:szCs w:val="20"/>
          <w:lang w:val="en-GB" w:eastAsia="en-US"/>
        </w:rPr>
      </w:pPr>
      <w:r>
        <w:rPr>
          <w:rFonts w:asciiTheme="minorHAnsi" w:hAnsiTheme="minorHAnsi"/>
          <w:sz w:val="20"/>
          <w:szCs w:val="20"/>
          <w:lang w:val="en-GB" w:eastAsia="en-US"/>
        </w:rPr>
        <w:t>Pharmaceutical active compounds have been recognized as a group of environmental micro pollutants. This interest is due to incomplete removal in wastewater treatment plants</w:t>
      </w:r>
      <w:r w:rsidR="00B967CB">
        <w:rPr>
          <w:rFonts w:asciiTheme="minorHAnsi" w:hAnsiTheme="minorHAnsi"/>
          <w:sz w:val="20"/>
          <w:szCs w:val="20"/>
          <w:lang w:val="en-GB" w:eastAsia="en-US"/>
        </w:rPr>
        <w:t xml:space="preserve"> (WWTPs)</w:t>
      </w:r>
      <w:r>
        <w:rPr>
          <w:rFonts w:asciiTheme="minorHAnsi" w:hAnsiTheme="minorHAnsi"/>
          <w:sz w:val="20"/>
          <w:szCs w:val="20"/>
          <w:lang w:val="en-GB" w:eastAsia="en-US"/>
        </w:rPr>
        <w:t xml:space="preserve"> and active biological effect of these substances</w:t>
      </w:r>
      <w:r w:rsidR="00B967CB">
        <w:rPr>
          <w:rFonts w:asciiTheme="minorHAnsi" w:hAnsiTheme="minorHAnsi"/>
          <w:sz w:val="20"/>
          <w:szCs w:val="20"/>
          <w:lang w:val="en-GB" w:eastAsia="en-US"/>
        </w:rPr>
        <w:t xml:space="preserve"> at low doses</w:t>
      </w:r>
      <w:r>
        <w:rPr>
          <w:rFonts w:asciiTheme="minorHAnsi" w:hAnsiTheme="minorHAnsi"/>
          <w:sz w:val="20"/>
          <w:szCs w:val="20"/>
          <w:lang w:val="en-GB" w:eastAsia="en-US"/>
        </w:rPr>
        <w:t xml:space="preserve">. </w:t>
      </w:r>
      <w:r w:rsidR="00B967CB">
        <w:rPr>
          <w:rFonts w:asciiTheme="minorHAnsi" w:hAnsiTheme="minorHAnsi"/>
          <w:sz w:val="20"/>
          <w:szCs w:val="20"/>
          <w:lang w:val="en-GB" w:eastAsia="en-US"/>
        </w:rPr>
        <w:t>Residues of pharmaceuticals were detected in natural waters, but outputs of WWTPs were identified as a main source of pharmaceutical introduction into ecosystems. Subsequently at these environmentally relevant concentrations chronic toxicity on non-target organisms occurs</w:t>
      </w:r>
      <w:r w:rsidR="002A535B" w:rsidRPr="002A535B">
        <w:rPr>
          <w:rFonts w:asciiTheme="minorHAnsi" w:hAnsiTheme="minorHAnsi"/>
          <w:sz w:val="20"/>
          <w:szCs w:val="20"/>
          <w:vertAlign w:val="superscript"/>
          <w:lang w:val="en-GB" w:eastAsia="en-US"/>
        </w:rPr>
        <w:t>1-4</w:t>
      </w:r>
      <w:r w:rsidR="00B967CB">
        <w:rPr>
          <w:rFonts w:asciiTheme="minorHAnsi" w:hAnsiTheme="minorHAnsi"/>
          <w:sz w:val="20"/>
          <w:szCs w:val="20"/>
          <w:lang w:val="en-GB" w:eastAsia="en-US"/>
        </w:rPr>
        <w:t>.</w:t>
      </w:r>
    </w:p>
    <w:p w:rsidR="00B967CB" w:rsidRDefault="00B967CB" w:rsidP="000A1154">
      <w:pPr>
        <w:jc w:val="both"/>
        <w:rPr>
          <w:rFonts w:asciiTheme="minorHAnsi" w:hAnsiTheme="minorHAnsi"/>
          <w:sz w:val="20"/>
          <w:szCs w:val="20"/>
          <w:lang w:val="en-GB" w:eastAsia="en-US"/>
        </w:rPr>
      </w:pPr>
      <w:r>
        <w:rPr>
          <w:rFonts w:asciiTheme="minorHAnsi" w:hAnsiTheme="minorHAnsi"/>
          <w:sz w:val="20"/>
          <w:szCs w:val="20"/>
          <w:lang w:val="en-GB" w:eastAsia="en-US"/>
        </w:rPr>
        <w:t>Naproxen</w:t>
      </w:r>
      <w:r w:rsidR="003E2CDF">
        <w:rPr>
          <w:rFonts w:asciiTheme="minorHAnsi" w:hAnsiTheme="minorHAnsi"/>
          <w:sz w:val="20"/>
          <w:szCs w:val="20"/>
          <w:lang w:val="en-GB" w:eastAsia="en-US"/>
        </w:rPr>
        <w:t xml:space="preserve"> [(S) 6-methoxy-α-methyl-2-naphtalene acetic acid] is a member of nonsteroidal anti-inflammatory drugs</w:t>
      </w:r>
      <w:r w:rsidR="00881CF2">
        <w:rPr>
          <w:rFonts w:asciiTheme="minorHAnsi" w:hAnsiTheme="minorHAnsi"/>
          <w:sz w:val="20"/>
          <w:szCs w:val="20"/>
          <w:lang w:val="en-GB" w:eastAsia="en-US"/>
        </w:rPr>
        <w:t xml:space="preserve"> </w:t>
      </w:r>
      <w:r w:rsidR="003E2CDF">
        <w:rPr>
          <w:rFonts w:asciiTheme="minorHAnsi" w:hAnsiTheme="minorHAnsi"/>
          <w:sz w:val="20"/>
          <w:szCs w:val="20"/>
          <w:lang w:val="en-GB" w:eastAsia="en-US"/>
        </w:rPr>
        <w:t xml:space="preserve">(NSAIDs). As well as diclofenac (2-(2-(2,6-dichlorophenylamino)phenyl)acetic acid is a member of NSAIDs. These two pharmaceuticals are ubiquitously presented in surveyed surface waters. Also these two substances were found in a bile of wild species </w:t>
      </w:r>
      <w:r w:rsidR="003E2CDF" w:rsidRPr="003E2CDF">
        <w:rPr>
          <w:rFonts w:asciiTheme="minorHAnsi" w:hAnsiTheme="minorHAnsi"/>
          <w:i/>
          <w:sz w:val="20"/>
          <w:szCs w:val="20"/>
          <w:lang w:val="en-GB" w:eastAsia="en-US"/>
        </w:rPr>
        <w:t>A. brama</w:t>
      </w:r>
      <w:r w:rsidR="003E2CDF">
        <w:rPr>
          <w:rFonts w:asciiTheme="minorHAnsi" w:hAnsiTheme="minorHAnsi"/>
          <w:sz w:val="20"/>
          <w:szCs w:val="20"/>
          <w:lang w:val="en-GB" w:eastAsia="en-US"/>
        </w:rPr>
        <w:t xml:space="preserve"> and </w:t>
      </w:r>
      <w:r w:rsidR="003E2CDF" w:rsidRPr="003E2CDF">
        <w:rPr>
          <w:rFonts w:asciiTheme="minorHAnsi" w:hAnsiTheme="minorHAnsi"/>
          <w:i/>
          <w:sz w:val="20"/>
          <w:szCs w:val="20"/>
          <w:lang w:val="en-GB" w:eastAsia="en-US"/>
        </w:rPr>
        <w:t xml:space="preserve">R. </w:t>
      </w:r>
      <w:r w:rsidR="002A535B" w:rsidRPr="003E2CDF">
        <w:rPr>
          <w:rFonts w:asciiTheme="minorHAnsi" w:hAnsiTheme="minorHAnsi"/>
          <w:i/>
          <w:sz w:val="20"/>
          <w:szCs w:val="20"/>
          <w:lang w:val="en-GB" w:eastAsia="en-US"/>
        </w:rPr>
        <w:t>R</w:t>
      </w:r>
      <w:r w:rsidR="003E2CDF" w:rsidRPr="003E2CDF">
        <w:rPr>
          <w:rFonts w:asciiTheme="minorHAnsi" w:hAnsiTheme="minorHAnsi"/>
          <w:i/>
          <w:sz w:val="20"/>
          <w:szCs w:val="20"/>
          <w:lang w:val="en-GB" w:eastAsia="en-US"/>
        </w:rPr>
        <w:t>utilus</w:t>
      </w:r>
      <w:r w:rsidR="002A535B" w:rsidRPr="002A535B">
        <w:rPr>
          <w:rFonts w:asciiTheme="minorHAnsi" w:hAnsiTheme="minorHAnsi"/>
          <w:sz w:val="20"/>
          <w:szCs w:val="20"/>
          <w:vertAlign w:val="superscript"/>
          <w:lang w:val="en-GB" w:eastAsia="en-US"/>
        </w:rPr>
        <w:t>5</w:t>
      </w:r>
      <w:r w:rsidR="003E2CDF">
        <w:rPr>
          <w:rFonts w:asciiTheme="minorHAnsi" w:hAnsiTheme="minorHAnsi"/>
          <w:sz w:val="20"/>
          <w:szCs w:val="20"/>
          <w:lang w:val="en-GB" w:eastAsia="en-US"/>
        </w:rPr>
        <w:t>.</w:t>
      </w:r>
    </w:p>
    <w:p w:rsidR="003E2CDF" w:rsidRDefault="00A16D86" w:rsidP="000A1154">
      <w:pPr>
        <w:jc w:val="both"/>
        <w:rPr>
          <w:rFonts w:asciiTheme="minorHAnsi" w:hAnsiTheme="minorHAnsi"/>
          <w:sz w:val="20"/>
          <w:szCs w:val="20"/>
          <w:lang w:val="en-GB" w:eastAsia="en-US"/>
        </w:rPr>
      </w:pPr>
      <w:r>
        <w:rPr>
          <w:rFonts w:asciiTheme="minorHAnsi" w:hAnsiTheme="minorHAnsi"/>
          <w:sz w:val="20"/>
          <w:szCs w:val="20"/>
          <w:lang w:val="en-GB" w:eastAsia="en-US"/>
        </w:rPr>
        <w:t>These two subs</w:t>
      </w:r>
      <w:r w:rsidR="00267BB1">
        <w:rPr>
          <w:rFonts w:asciiTheme="minorHAnsi" w:hAnsiTheme="minorHAnsi"/>
          <w:sz w:val="20"/>
          <w:szCs w:val="20"/>
          <w:lang w:val="en-GB" w:eastAsia="en-US"/>
        </w:rPr>
        <w:t>tan</w:t>
      </w:r>
      <w:r>
        <w:rPr>
          <w:rFonts w:asciiTheme="minorHAnsi" w:hAnsiTheme="minorHAnsi"/>
          <w:sz w:val="20"/>
          <w:szCs w:val="20"/>
          <w:lang w:val="en-GB" w:eastAsia="en-US"/>
        </w:rPr>
        <w:t>ces were removed from water samples by heterogeneous photocatalysis. The system of heterogeneous photocatalysis is always composed of catalyst, which is oxide or sulphide of transition metals. After irradiation of the catalyst surface, the catalyst itself become polarized and the radicals are generated. These radicals are able to cause oxidative degradation of the organic substance</w:t>
      </w:r>
      <w:r w:rsidR="002A535B" w:rsidRPr="002A535B">
        <w:rPr>
          <w:rFonts w:asciiTheme="minorHAnsi" w:hAnsiTheme="minorHAnsi"/>
          <w:sz w:val="20"/>
          <w:szCs w:val="20"/>
          <w:vertAlign w:val="superscript"/>
          <w:lang w:val="en-GB" w:eastAsia="en-US"/>
        </w:rPr>
        <w:t>6-9</w:t>
      </w:r>
      <w:r>
        <w:rPr>
          <w:rFonts w:asciiTheme="minorHAnsi" w:hAnsiTheme="minorHAnsi"/>
          <w:sz w:val="20"/>
          <w:szCs w:val="20"/>
          <w:lang w:val="en-GB" w:eastAsia="en-US"/>
        </w:rPr>
        <w:t>.</w:t>
      </w:r>
    </w:p>
    <w:p w:rsidR="00A16D86" w:rsidRDefault="00A16D86" w:rsidP="00A16D86">
      <w:pPr>
        <w:pStyle w:val="Nadpis2"/>
        <w:rPr>
          <w:rFonts w:asciiTheme="minorHAnsi" w:hAnsiTheme="minorHAnsi"/>
          <w:sz w:val="24"/>
          <w:szCs w:val="24"/>
        </w:rPr>
      </w:pPr>
      <w:r w:rsidRPr="00826028">
        <w:rPr>
          <w:rFonts w:asciiTheme="minorHAnsi" w:hAnsiTheme="minorHAnsi"/>
          <w:sz w:val="24"/>
          <w:szCs w:val="24"/>
        </w:rPr>
        <w:t>Experimental</w:t>
      </w:r>
    </w:p>
    <w:p w:rsidR="00A16D86" w:rsidRPr="00A16D86" w:rsidRDefault="00A16D86" w:rsidP="00A16D86">
      <w:pPr>
        <w:jc w:val="both"/>
        <w:rPr>
          <w:rFonts w:asciiTheme="minorHAnsi" w:hAnsiTheme="minorHAnsi"/>
          <w:sz w:val="20"/>
          <w:szCs w:val="20"/>
          <w:lang w:val="en-GB" w:eastAsia="en-US"/>
        </w:rPr>
      </w:pPr>
      <w:r w:rsidRPr="00A16D86">
        <w:rPr>
          <w:rFonts w:asciiTheme="minorHAnsi" w:hAnsiTheme="minorHAnsi"/>
          <w:sz w:val="20"/>
          <w:szCs w:val="20"/>
          <w:lang w:val="en-GB" w:eastAsia="en-US"/>
        </w:rPr>
        <w:t xml:space="preserve">Stock </w:t>
      </w:r>
      <w:r>
        <w:rPr>
          <w:rFonts w:asciiTheme="minorHAnsi" w:hAnsiTheme="minorHAnsi"/>
          <w:sz w:val="20"/>
          <w:szCs w:val="20"/>
          <w:lang w:val="en-GB" w:eastAsia="en-US"/>
        </w:rPr>
        <w:t>solutions of the drugs were prepared by dissolving of the appropriate amount of diclofenac or naproxen in tap water. The catalyst suspension of TiO</w:t>
      </w:r>
      <w:r w:rsidRPr="00A16D86">
        <w:rPr>
          <w:rFonts w:asciiTheme="minorHAnsi" w:hAnsiTheme="minorHAnsi"/>
          <w:sz w:val="20"/>
          <w:szCs w:val="20"/>
          <w:vertAlign w:val="subscript"/>
          <w:lang w:val="en-GB" w:eastAsia="en-US"/>
        </w:rPr>
        <w:t>2</w:t>
      </w:r>
      <w:r w:rsidR="00267BB1">
        <w:rPr>
          <w:rFonts w:asciiTheme="minorHAnsi" w:hAnsiTheme="minorHAnsi"/>
          <w:sz w:val="20"/>
          <w:szCs w:val="20"/>
          <w:vertAlign w:val="subscript"/>
          <w:lang w:val="en-GB" w:eastAsia="en-US"/>
        </w:rPr>
        <w:t xml:space="preserve"> </w:t>
      </w:r>
      <w:r>
        <w:rPr>
          <w:rFonts w:asciiTheme="minorHAnsi" w:hAnsiTheme="minorHAnsi"/>
          <w:sz w:val="20"/>
          <w:szCs w:val="20"/>
          <w:lang w:val="en-GB" w:eastAsia="en-US"/>
        </w:rPr>
        <w:t>was prepared by dispersion of appropriate amount of oxide in distilled water by ultrasonication. A 4L batch reactor was used for purpose of</w:t>
      </w:r>
      <w:r w:rsidR="00267BB1">
        <w:rPr>
          <w:rFonts w:asciiTheme="minorHAnsi" w:hAnsiTheme="minorHAnsi"/>
          <w:sz w:val="20"/>
          <w:szCs w:val="20"/>
          <w:lang w:val="en-GB" w:eastAsia="en-US"/>
        </w:rPr>
        <w:t xml:space="preserve"> heterogeneous photocatalysis. T</w:t>
      </w:r>
      <w:r>
        <w:rPr>
          <w:rFonts w:asciiTheme="minorHAnsi" w:hAnsiTheme="minorHAnsi"/>
          <w:sz w:val="20"/>
          <w:szCs w:val="20"/>
          <w:lang w:val="en-GB" w:eastAsia="en-US"/>
        </w:rPr>
        <w:t>he drug content was 500 μg/L and the catalyst con</w:t>
      </w:r>
      <w:r w:rsidR="00332D9A">
        <w:rPr>
          <w:rFonts w:asciiTheme="minorHAnsi" w:hAnsiTheme="minorHAnsi"/>
          <w:sz w:val="20"/>
          <w:szCs w:val="20"/>
          <w:lang w:val="en-GB" w:eastAsia="en-US"/>
        </w:rPr>
        <w:t xml:space="preserve">tent was 0,5 g/L. System was aerated (Secoh air pump) and stirred at a speed of 650 rpm. As a source of UV irradiation, </w:t>
      </w:r>
      <w:r w:rsidR="004834EE">
        <w:rPr>
          <w:rFonts w:asciiTheme="minorHAnsi" w:hAnsiTheme="minorHAnsi"/>
          <w:sz w:val="20"/>
          <w:szCs w:val="20"/>
          <w:lang w:val="en-GB" w:eastAsia="en-US"/>
        </w:rPr>
        <w:t xml:space="preserve">LUMINUS </w:t>
      </w:r>
      <w:r w:rsidR="00332D9A">
        <w:rPr>
          <w:rFonts w:asciiTheme="minorHAnsi" w:hAnsiTheme="minorHAnsi"/>
          <w:sz w:val="20"/>
          <w:szCs w:val="20"/>
          <w:lang w:val="en-GB" w:eastAsia="en-US"/>
        </w:rPr>
        <w:t>UV-LED system</w:t>
      </w:r>
      <w:r w:rsidR="00267BB1">
        <w:rPr>
          <w:rFonts w:asciiTheme="minorHAnsi" w:hAnsiTheme="minorHAnsi"/>
          <w:sz w:val="20"/>
          <w:szCs w:val="20"/>
          <w:lang w:val="en-GB" w:eastAsia="en-US"/>
        </w:rPr>
        <w:t xml:space="preserve"> (4</w:t>
      </w:r>
      <w:r w:rsidR="004834EE">
        <w:rPr>
          <w:rFonts w:asciiTheme="minorHAnsi" w:hAnsiTheme="minorHAnsi"/>
          <w:sz w:val="20"/>
          <w:szCs w:val="20"/>
          <w:lang w:val="en-GB" w:eastAsia="en-US"/>
        </w:rPr>
        <w:t>, 9A)</w:t>
      </w:r>
      <w:r w:rsidR="00332D9A">
        <w:rPr>
          <w:rFonts w:asciiTheme="minorHAnsi" w:hAnsiTheme="minorHAnsi"/>
          <w:sz w:val="20"/>
          <w:szCs w:val="20"/>
          <w:lang w:val="en-GB" w:eastAsia="en-US"/>
        </w:rPr>
        <w:t xml:space="preserve"> was used.</w:t>
      </w:r>
      <w:r w:rsidR="004834EE">
        <w:rPr>
          <w:rFonts w:asciiTheme="minorHAnsi" w:hAnsiTheme="minorHAnsi"/>
          <w:sz w:val="20"/>
          <w:szCs w:val="20"/>
          <w:lang w:val="en-GB" w:eastAsia="en-US"/>
        </w:rPr>
        <w:t xml:space="preserve"> It consists of 12 UV LED diod</w:t>
      </w:r>
      <w:r w:rsidR="00267BB1">
        <w:rPr>
          <w:rFonts w:asciiTheme="minorHAnsi" w:hAnsiTheme="minorHAnsi"/>
          <w:sz w:val="20"/>
          <w:szCs w:val="20"/>
          <w:lang w:val="en-GB" w:eastAsia="en-US"/>
        </w:rPr>
        <w:t>e</w:t>
      </w:r>
      <w:r w:rsidR="004834EE">
        <w:rPr>
          <w:rFonts w:asciiTheme="minorHAnsi" w:hAnsiTheme="minorHAnsi"/>
          <w:sz w:val="20"/>
          <w:szCs w:val="20"/>
          <w:lang w:val="en-GB" w:eastAsia="en-US"/>
        </w:rPr>
        <w:t>s with a peak emission at 365 nm. The lamp was placed over the reaction</w:t>
      </w:r>
      <w:r w:rsidR="00267BB1">
        <w:rPr>
          <w:rFonts w:asciiTheme="minorHAnsi" w:hAnsiTheme="minorHAnsi"/>
          <w:sz w:val="20"/>
          <w:szCs w:val="20"/>
          <w:lang w:val="en-GB" w:eastAsia="en-US"/>
        </w:rPr>
        <w:t xml:space="preserve"> vessel</w:t>
      </w:r>
      <w:r w:rsidR="004834EE">
        <w:rPr>
          <w:rFonts w:asciiTheme="minorHAnsi" w:hAnsiTheme="minorHAnsi"/>
          <w:sz w:val="20"/>
          <w:szCs w:val="20"/>
          <w:lang w:val="en-GB" w:eastAsia="en-US"/>
        </w:rPr>
        <w:t>. During irradiation, the samples were taken at 20 minute interval. Experiments lasted 1 hour. Additional experiments with pH adjustment (pH 3 and 10) or H</w:t>
      </w:r>
      <w:r w:rsidR="004834EE" w:rsidRPr="004834EE">
        <w:rPr>
          <w:rFonts w:asciiTheme="minorHAnsi" w:hAnsiTheme="minorHAnsi"/>
          <w:sz w:val="20"/>
          <w:szCs w:val="20"/>
          <w:vertAlign w:val="subscript"/>
          <w:lang w:val="en-GB" w:eastAsia="en-US"/>
        </w:rPr>
        <w:t>2</w:t>
      </w:r>
      <w:r w:rsidR="004834EE">
        <w:rPr>
          <w:rFonts w:asciiTheme="minorHAnsi" w:hAnsiTheme="minorHAnsi"/>
          <w:sz w:val="20"/>
          <w:szCs w:val="20"/>
          <w:lang w:val="en-GB" w:eastAsia="en-US"/>
        </w:rPr>
        <w:t>O</w:t>
      </w:r>
      <w:r w:rsidR="004834EE" w:rsidRPr="004834EE">
        <w:rPr>
          <w:rFonts w:asciiTheme="minorHAnsi" w:hAnsiTheme="minorHAnsi"/>
          <w:sz w:val="20"/>
          <w:szCs w:val="20"/>
          <w:vertAlign w:val="subscript"/>
          <w:lang w:val="en-GB" w:eastAsia="en-US"/>
        </w:rPr>
        <w:t>2</w:t>
      </w:r>
      <w:r w:rsidR="004834EE">
        <w:rPr>
          <w:rFonts w:asciiTheme="minorHAnsi" w:hAnsiTheme="minorHAnsi"/>
          <w:sz w:val="20"/>
          <w:szCs w:val="20"/>
          <w:lang w:val="en-GB" w:eastAsia="en-US"/>
        </w:rPr>
        <w:t xml:space="preserve"> (0.5 g/L) addition were evalua</w:t>
      </w:r>
      <w:r w:rsidR="00267BB1">
        <w:rPr>
          <w:rFonts w:asciiTheme="minorHAnsi" w:hAnsiTheme="minorHAnsi"/>
          <w:sz w:val="20"/>
          <w:szCs w:val="20"/>
          <w:lang w:val="en-GB" w:eastAsia="en-US"/>
        </w:rPr>
        <w:t>ted. Hydrogen peroxide was added</w:t>
      </w:r>
      <w:r w:rsidR="004834EE">
        <w:rPr>
          <w:rFonts w:asciiTheme="minorHAnsi" w:hAnsiTheme="minorHAnsi"/>
          <w:sz w:val="20"/>
          <w:szCs w:val="20"/>
          <w:lang w:val="en-GB" w:eastAsia="en-US"/>
        </w:rPr>
        <w:t xml:space="preserve"> at the beginning of the experiment. Prior analysis, samples were 5 minutes centrifuged using </w:t>
      </w:r>
      <w:r w:rsidR="004834EE">
        <w:rPr>
          <w:rFonts w:asciiTheme="minorHAnsi" w:hAnsiTheme="minorHAnsi"/>
          <w:sz w:val="20"/>
          <w:szCs w:val="20"/>
          <w:lang w:val="en-GB" w:eastAsia="en-US"/>
        </w:rPr>
        <w:lastRenderedPageBreak/>
        <w:t>Eppendorf centrifuge 5804 R at a 8 000 rpm. Samples were preconcentrated at a solid phase extraction (SPE) manifold (Macherey-Nagel) using Oasis HLB (Waters)</w:t>
      </w:r>
      <w:r w:rsidR="00267BB1">
        <w:rPr>
          <w:rFonts w:asciiTheme="minorHAnsi" w:hAnsiTheme="minorHAnsi"/>
          <w:sz w:val="20"/>
          <w:szCs w:val="20"/>
          <w:lang w:val="en-GB" w:eastAsia="en-US"/>
        </w:rPr>
        <w:t xml:space="preserve"> </w:t>
      </w:r>
      <w:r w:rsidR="0083108A">
        <w:rPr>
          <w:rFonts w:asciiTheme="minorHAnsi" w:hAnsiTheme="minorHAnsi"/>
          <w:sz w:val="20"/>
          <w:szCs w:val="20"/>
          <w:lang w:val="en-GB" w:eastAsia="en-US"/>
        </w:rPr>
        <w:t>preconcentration columns. For condition, 20 mL of methanol, 6 ml deionised (DI) water and 6 mL of DI water at pH 4 was used. 200 mL of the sample was preconcentrated at a constant value of 35 kPa. Than 12 mL of methanol/acetonitrile 1:1 was used for an elution. Samples were concentrated to 3 mL, than reconstituted using 2 mL of H</w:t>
      </w:r>
      <w:r w:rsidR="0083108A" w:rsidRPr="0083108A">
        <w:rPr>
          <w:rFonts w:asciiTheme="minorHAnsi" w:hAnsiTheme="minorHAnsi"/>
          <w:sz w:val="20"/>
          <w:szCs w:val="20"/>
          <w:vertAlign w:val="subscript"/>
          <w:lang w:val="en-GB" w:eastAsia="en-US"/>
        </w:rPr>
        <w:t>2</w:t>
      </w:r>
      <w:r w:rsidR="0083108A">
        <w:rPr>
          <w:rFonts w:asciiTheme="minorHAnsi" w:hAnsiTheme="minorHAnsi"/>
          <w:sz w:val="20"/>
          <w:szCs w:val="20"/>
          <w:lang w:val="en-GB" w:eastAsia="en-US"/>
        </w:rPr>
        <w:t>O. diclofenac and naproxen were analysed using High performance liquid chromatography (HPLC). As a stationary phase</w:t>
      </w:r>
      <w:r w:rsidR="00267BB1">
        <w:rPr>
          <w:rFonts w:asciiTheme="minorHAnsi" w:hAnsiTheme="minorHAnsi"/>
          <w:sz w:val="20"/>
          <w:szCs w:val="20"/>
          <w:lang w:val="en-GB" w:eastAsia="en-US"/>
        </w:rPr>
        <w:t>,</w:t>
      </w:r>
      <w:r w:rsidR="0083108A">
        <w:rPr>
          <w:rFonts w:asciiTheme="minorHAnsi" w:hAnsiTheme="minorHAnsi"/>
          <w:sz w:val="20"/>
          <w:szCs w:val="20"/>
          <w:lang w:val="en-GB" w:eastAsia="en-US"/>
        </w:rPr>
        <w:t xml:space="preserve"> reverse phase Nucleosil C18 was used. As a mobil phase</w:t>
      </w:r>
      <w:r w:rsidR="00267BB1">
        <w:rPr>
          <w:rFonts w:asciiTheme="minorHAnsi" w:hAnsiTheme="minorHAnsi"/>
          <w:sz w:val="20"/>
          <w:szCs w:val="20"/>
          <w:lang w:val="en-GB" w:eastAsia="en-US"/>
        </w:rPr>
        <w:t>,</w:t>
      </w:r>
      <w:r w:rsidR="0083108A">
        <w:rPr>
          <w:rFonts w:asciiTheme="minorHAnsi" w:hAnsiTheme="minorHAnsi"/>
          <w:sz w:val="20"/>
          <w:szCs w:val="20"/>
          <w:lang w:val="en-GB" w:eastAsia="en-US"/>
        </w:rPr>
        <w:t xml:space="preserve"> acetonitrile and water 3:4 was used. Drugs were detected by diod array or fluorescent detector. Using these separation conditions, the retention time of  naproxen was 5.3 min (measured at 237 nm) and diclofenac 8.8 min (at 273 nm).</w:t>
      </w:r>
    </w:p>
    <w:p w:rsidR="00A16D86" w:rsidRPr="00826028" w:rsidRDefault="00A16D86" w:rsidP="00A16D86">
      <w:pPr>
        <w:pStyle w:val="Nadpis2"/>
        <w:rPr>
          <w:rFonts w:asciiTheme="minorHAnsi" w:hAnsiTheme="minorHAnsi"/>
          <w:sz w:val="24"/>
          <w:szCs w:val="24"/>
        </w:rPr>
      </w:pPr>
      <w:r w:rsidRPr="00826028">
        <w:rPr>
          <w:rFonts w:asciiTheme="minorHAnsi" w:hAnsiTheme="minorHAnsi"/>
          <w:sz w:val="24"/>
          <w:szCs w:val="24"/>
        </w:rPr>
        <w:t>Results and discussion</w:t>
      </w:r>
    </w:p>
    <w:p w:rsidR="0083108A" w:rsidRDefault="004502DA" w:rsidP="00EC6220">
      <w:pPr>
        <w:jc w:val="both"/>
        <w:rPr>
          <w:rFonts w:asciiTheme="minorHAnsi" w:hAnsiTheme="minorHAnsi"/>
          <w:sz w:val="20"/>
          <w:szCs w:val="20"/>
          <w:lang w:val="en-GB" w:eastAsia="en-US"/>
        </w:rPr>
      </w:pPr>
      <w:r>
        <w:rPr>
          <w:rFonts w:asciiTheme="minorHAnsi" w:hAnsiTheme="minorHAnsi"/>
          <w:sz w:val="20"/>
          <w:szCs w:val="20"/>
          <w:lang w:val="en-GB" w:eastAsia="en-US"/>
        </w:rPr>
        <w:t>F</w:t>
      </w:r>
      <w:r w:rsidR="00EC6220">
        <w:rPr>
          <w:rFonts w:asciiTheme="minorHAnsi" w:hAnsiTheme="minorHAnsi"/>
          <w:sz w:val="20"/>
          <w:szCs w:val="20"/>
          <w:lang w:val="en-GB" w:eastAsia="en-US"/>
        </w:rPr>
        <w:t>ig</w:t>
      </w:r>
      <w:r>
        <w:rPr>
          <w:rFonts w:asciiTheme="minorHAnsi" w:hAnsiTheme="minorHAnsi"/>
          <w:sz w:val="20"/>
          <w:szCs w:val="20"/>
          <w:lang w:val="en-GB" w:eastAsia="en-US"/>
        </w:rPr>
        <w:t xml:space="preserve">. 1 shows removal efficiency of diclofenac by various processes after 1 hour experiments. </w:t>
      </w:r>
      <w:r w:rsidR="00EC6220" w:rsidRPr="00EC6220">
        <w:rPr>
          <w:rFonts w:asciiTheme="minorHAnsi" w:hAnsiTheme="minorHAnsi"/>
          <w:sz w:val="20"/>
          <w:szCs w:val="20"/>
          <w:lang w:val="en-GB" w:eastAsia="en-US"/>
        </w:rPr>
        <w:t>Effect of UV</w:t>
      </w:r>
      <w:r w:rsidR="00EC6220">
        <w:rPr>
          <w:rFonts w:asciiTheme="minorHAnsi" w:hAnsiTheme="minorHAnsi"/>
          <w:sz w:val="20"/>
          <w:szCs w:val="20"/>
          <w:lang w:val="en-GB" w:eastAsia="en-US"/>
        </w:rPr>
        <w:t xml:space="preserve"> irradiation </w:t>
      </w:r>
      <w:r w:rsidR="00267BB1">
        <w:rPr>
          <w:rFonts w:asciiTheme="minorHAnsi" w:hAnsiTheme="minorHAnsi"/>
          <w:sz w:val="20"/>
          <w:szCs w:val="20"/>
          <w:lang w:val="en-GB" w:eastAsia="en-US"/>
        </w:rPr>
        <w:t>at</w:t>
      </w:r>
      <w:r w:rsidR="00EC6220">
        <w:rPr>
          <w:rFonts w:asciiTheme="minorHAnsi" w:hAnsiTheme="minorHAnsi"/>
          <w:sz w:val="20"/>
          <w:szCs w:val="20"/>
          <w:lang w:val="en-GB" w:eastAsia="en-US"/>
        </w:rPr>
        <w:t xml:space="preserve"> the absence of catalyst was evaluated</w:t>
      </w:r>
      <w:r>
        <w:rPr>
          <w:rFonts w:asciiTheme="minorHAnsi" w:hAnsiTheme="minorHAnsi"/>
          <w:sz w:val="20"/>
          <w:szCs w:val="20"/>
          <w:lang w:val="en-GB" w:eastAsia="en-US"/>
        </w:rPr>
        <w:t>. It was found that</w:t>
      </w:r>
      <w:r w:rsidR="00EC6220">
        <w:rPr>
          <w:rFonts w:asciiTheme="minorHAnsi" w:hAnsiTheme="minorHAnsi"/>
          <w:sz w:val="20"/>
          <w:szCs w:val="20"/>
          <w:lang w:val="en-GB" w:eastAsia="en-US"/>
        </w:rPr>
        <w:t xml:space="preserve"> this effect on diclofenac remo</w:t>
      </w:r>
      <w:r>
        <w:rPr>
          <w:rFonts w:asciiTheme="minorHAnsi" w:hAnsiTheme="minorHAnsi"/>
          <w:sz w:val="20"/>
          <w:szCs w:val="20"/>
          <w:lang w:val="en-GB" w:eastAsia="en-US"/>
        </w:rPr>
        <w:t>val is relatively slow mainly due to high emission wavelength of the UV system used. Using UV photolysis only 17% removal of the diclofenac occurred. Combining UV with TiO</w:t>
      </w:r>
      <w:r w:rsidRPr="004502DA">
        <w:rPr>
          <w:rFonts w:asciiTheme="minorHAnsi" w:hAnsiTheme="minorHAnsi"/>
          <w:sz w:val="20"/>
          <w:szCs w:val="20"/>
          <w:vertAlign w:val="subscript"/>
          <w:lang w:val="en-GB" w:eastAsia="en-US"/>
        </w:rPr>
        <w:t>2</w:t>
      </w:r>
      <w:r>
        <w:rPr>
          <w:rFonts w:asciiTheme="minorHAnsi" w:hAnsiTheme="minorHAnsi"/>
          <w:sz w:val="20"/>
          <w:szCs w:val="20"/>
          <w:lang w:val="en-GB" w:eastAsia="en-US"/>
        </w:rPr>
        <w:t xml:space="preserve"> the conversion was achieved almost 100 %, indicating strong oxidising effect of the system. Subsequently, removal rate was explored after the addition of hydrogen peroxide</w:t>
      </w:r>
      <w:r w:rsidR="00267BB1">
        <w:rPr>
          <w:rFonts w:asciiTheme="minorHAnsi" w:hAnsiTheme="minorHAnsi"/>
          <w:sz w:val="20"/>
          <w:szCs w:val="20"/>
          <w:lang w:val="en-GB" w:eastAsia="en-US"/>
        </w:rPr>
        <w:t xml:space="preserve"> H</w:t>
      </w:r>
      <w:r w:rsidR="00267BB1" w:rsidRPr="00267BB1">
        <w:rPr>
          <w:rFonts w:asciiTheme="minorHAnsi" w:hAnsiTheme="minorHAnsi"/>
          <w:sz w:val="20"/>
          <w:szCs w:val="20"/>
          <w:vertAlign w:val="subscript"/>
          <w:lang w:val="en-GB" w:eastAsia="en-US"/>
        </w:rPr>
        <w:t>2</w:t>
      </w:r>
      <w:r w:rsidR="00267BB1">
        <w:rPr>
          <w:rFonts w:asciiTheme="minorHAnsi" w:hAnsiTheme="minorHAnsi"/>
          <w:sz w:val="20"/>
          <w:szCs w:val="20"/>
          <w:lang w:val="en-GB" w:eastAsia="en-US"/>
        </w:rPr>
        <w:t>O</w:t>
      </w:r>
      <w:r w:rsidR="00267BB1" w:rsidRPr="00267BB1">
        <w:rPr>
          <w:rFonts w:asciiTheme="minorHAnsi" w:hAnsiTheme="minorHAnsi"/>
          <w:sz w:val="20"/>
          <w:szCs w:val="20"/>
          <w:vertAlign w:val="subscript"/>
          <w:lang w:val="en-GB" w:eastAsia="en-US"/>
        </w:rPr>
        <w:t>2</w:t>
      </w:r>
      <w:r>
        <w:rPr>
          <w:rFonts w:asciiTheme="minorHAnsi" w:hAnsiTheme="minorHAnsi"/>
          <w:sz w:val="20"/>
          <w:szCs w:val="20"/>
          <w:lang w:val="en-GB" w:eastAsia="en-US"/>
        </w:rPr>
        <w:t xml:space="preserve">. There was a significant influence of </w:t>
      </w:r>
      <w:r w:rsidR="00267BB1">
        <w:rPr>
          <w:rFonts w:asciiTheme="minorHAnsi" w:hAnsiTheme="minorHAnsi"/>
          <w:sz w:val="20"/>
          <w:szCs w:val="20"/>
          <w:lang w:val="en-GB" w:eastAsia="en-US"/>
        </w:rPr>
        <w:t>H</w:t>
      </w:r>
      <w:r w:rsidR="00267BB1" w:rsidRPr="00267BB1">
        <w:rPr>
          <w:rFonts w:asciiTheme="minorHAnsi" w:hAnsiTheme="minorHAnsi"/>
          <w:sz w:val="20"/>
          <w:szCs w:val="20"/>
          <w:vertAlign w:val="subscript"/>
          <w:lang w:val="en-GB" w:eastAsia="en-US"/>
        </w:rPr>
        <w:t>2</w:t>
      </w:r>
      <w:r w:rsidR="00267BB1">
        <w:rPr>
          <w:rFonts w:asciiTheme="minorHAnsi" w:hAnsiTheme="minorHAnsi"/>
          <w:sz w:val="20"/>
          <w:szCs w:val="20"/>
          <w:lang w:val="en-GB" w:eastAsia="en-US"/>
        </w:rPr>
        <w:t>O</w:t>
      </w:r>
      <w:r w:rsidR="00267BB1" w:rsidRPr="00267BB1">
        <w:rPr>
          <w:rFonts w:asciiTheme="minorHAnsi" w:hAnsiTheme="minorHAnsi"/>
          <w:sz w:val="20"/>
          <w:szCs w:val="20"/>
          <w:vertAlign w:val="subscript"/>
          <w:lang w:val="en-GB" w:eastAsia="en-US"/>
        </w:rPr>
        <w:t>2</w:t>
      </w:r>
      <w:r w:rsidR="00267BB1">
        <w:rPr>
          <w:rFonts w:asciiTheme="minorHAnsi" w:hAnsiTheme="minorHAnsi"/>
          <w:sz w:val="20"/>
          <w:szCs w:val="20"/>
          <w:vertAlign w:val="subscript"/>
          <w:lang w:val="en-GB" w:eastAsia="en-US"/>
        </w:rPr>
        <w:t xml:space="preserve"> </w:t>
      </w:r>
      <w:r>
        <w:rPr>
          <w:rFonts w:asciiTheme="minorHAnsi" w:hAnsiTheme="minorHAnsi"/>
          <w:sz w:val="20"/>
          <w:szCs w:val="20"/>
          <w:lang w:val="en-GB" w:eastAsia="en-US"/>
        </w:rPr>
        <w:t>on removal rate of the diclofenac. For example after 20 min of photocatalysis with H</w:t>
      </w:r>
      <w:r w:rsidRPr="004502DA">
        <w:rPr>
          <w:rFonts w:asciiTheme="minorHAnsi" w:hAnsiTheme="minorHAnsi"/>
          <w:sz w:val="20"/>
          <w:szCs w:val="20"/>
          <w:vertAlign w:val="subscript"/>
          <w:lang w:val="en-GB" w:eastAsia="en-US"/>
        </w:rPr>
        <w:t>2</w:t>
      </w:r>
      <w:r>
        <w:rPr>
          <w:rFonts w:asciiTheme="minorHAnsi" w:hAnsiTheme="minorHAnsi"/>
          <w:sz w:val="20"/>
          <w:szCs w:val="20"/>
          <w:lang w:val="en-GB" w:eastAsia="en-US"/>
        </w:rPr>
        <w:t>O</w:t>
      </w:r>
      <w:r w:rsidRPr="004502DA">
        <w:rPr>
          <w:rFonts w:asciiTheme="minorHAnsi" w:hAnsiTheme="minorHAnsi"/>
          <w:sz w:val="20"/>
          <w:szCs w:val="20"/>
          <w:vertAlign w:val="subscript"/>
          <w:lang w:val="en-GB" w:eastAsia="en-US"/>
        </w:rPr>
        <w:t>2</w:t>
      </w:r>
      <w:r w:rsidR="00267BB1">
        <w:rPr>
          <w:rFonts w:asciiTheme="minorHAnsi" w:hAnsiTheme="minorHAnsi"/>
          <w:sz w:val="20"/>
          <w:szCs w:val="20"/>
          <w:vertAlign w:val="subscript"/>
          <w:lang w:val="en-GB" w:eastAsia="en-US"/>
        </w:rPr>
        <w:t xml:space="preserve"> </w:t>
      </w:r>
      <w:r w:rsidR="004925CD">
        <w:rPr>
          <w:rFonts w:asciiTheme="minorHAnsi" w:hAnsiTheme="minorHAnsi"/>
          <w:sz w:val="20"/>
          <w:szCs w:val="20"/>
          <w:lang w:val="en-GB" w:eastAsia="en-US"/>
        </w:rPr>
        <w:t xml:space="preserve">the removal rate is more than </w:t>
      </w:r>
      <w:r w:rsidR="00A347C1">
        <w:rPr>
          <w:rFonts w:asciiTheme="minorHAnsi" w:hAnsiTheme="minorHAnsi"/>
          <w:sz w:val="20"/>
          <w:szCs w:val="20"/>
          <w:lang w:val="en-GB" w:eastAsia="en-US"/>
        </w:rPr>
        <w:t>70</w:t>
      </w:r>
      <w:r w:rsidR="004925CD">
        <w:rPr>
          <w:rFonts w:asciiTheme="minorHAnsi" w:hAnsiTheme="minorHAnsi"/>
          <w:sz w:val="20"/>
          <w:szCs w:val="20"/>
          <w:lang w:val="en-GB" w:eastAsia="en-US"/>
        </w:rPr>
        <w:t xml:space="preserve"> % faster than without peroxide.</w:t>
      </w:r>
    </w:p>
    <w:p w:rsidR="004925CD" w:rsidRDefault="004925CD" w:rsidP="00EC6220">
      <w:pPr>
        <w:jc w:val="both"/>
        <w:rPr>
          <w:rFonts w:asciiTheme="minorHAnsi" w:hAnsiTheme="minorHAnsi"/>
          <w:sz w:val="20"/>
          <w:szCs w:val="20"/>
          <w:lang w:val="en-GB" w:eastAsia="en-US"/>
        </w:rPr>
      </w:pPr>
      <w:r>
        <w:rPr>
          <w:rFonts w:asciiTheme="minorHAnsi" w:hAnsiTheme="minorHAnsi"/>
          <w:sz w:val="20"/>
          <w:szCs w:val="20"/>
          <w:lang w:val="en-GB" w:eastAsia="en-US"/>
        </w:rPr>
        <w:t xml:space="preserve">Same experiments were carried out in case of naproxen removal as shown as in Fig. 2. After UV photolysis the removal of the drug was slightly higher than in case of diclofenac. The efficiency of UV photolysis was 25 %. Using heterogeneous photocatalysis the efficiency of the process was 82 %. Combination of photocatalysis with hydrogen peroxide showed increased removal rate of the drug mainly in first 30 min of the experiment, where the removal rate was about </w:t>
      </w:r>
      <w:r w:rsidR="00A347C1">
        <w:rPr>
          <w:rFonts w:asciiTheme="minorHAnsi" w:hAnsiTheme="minorHAnsi"/>
          <w:sz w:val="20"/>
          <w:szCs w:val="20"/>
          <w:lang w:val="en-GB" w:eastAsia="en-US"/>
        </w:rPr>
        <w:t>80 % faster. In time this reaction rate became slower due to exhaustion of the H</w:t>
      </w:r>
      <w:r w:rsidR="00A347C1" w:rsidRPr="004834EE">
        <w:rPr>
          <w:rFonts w:asciiTheme="minorHAnsi" w:hAnsiTheme="minorHAnsi"/>
          <w:sz w:val="20"/>
          <w:szCs w:val="20"/>
          <w:vertAlign w:val="subscript"/>
          <w:lang w:val="en-GB" w:eastAsia="en-US"/>
        </w:rPr>
        <w:t>2</w:t>
      </w:r>
      <w:r w:rsidR="00A347C1">
        <w:rPr>
          <w:rFonts w:asciiTheme="minorHAnsi" w:hAnsiTheme="minorHAnsi"/>
          <w:sz w:val="20"/>
          <w:szCs w:val="20"/>
          <w:lang w:val="en-GB" w:eastAsia="en-US"/>
        </w:rPr>
        <w:t>O</w:t>
      </w:r>
      <w:r w:rsidR="00A347C1" w:rsidRPr="004834EE">
        <w:rPr>
          <w:rFonts w:asciiTheme="minorHAnsi" w:hAnsiTheme="minorHAnsi"/>
          <w:sz w:val="20"/>
          <w:szCs w:val="20"/>
          <w:vertAlign w:val="subscript"/>
          <w:lang w:val="en-GB" w:eastAsia="en-US"/>
        </w:rPr>
        <w:t>2</w:t>
      </w:r>
      <w:r w:rsidR="00267BB1">
        <w:rPr>
          <w:rFonts w:asciiTheme="minorHAnsi" w:hAnsiTheme="minorHAnsi"/>
          <w:sz w:val="20"/>
          <w:szCs w:val="20"/>
          <w:lang w:val="en-GB" w:eastAsia="en-US"/>
        </w:rPr>
        <w:t>. I</w:t>
      </w:r>
      <w:r w:rsidR="00A347C1">
        <w:rPr>
          <w:rFonts w:asciiTheme="minorHAnsi" w:hAnsiTheme="minorHAnsi"/>
          <w:sz w:val="20"/>
          <w:szCs w:val="20"/>
          <w:lang w:val="en-GB" w:eastAsia="en-US"/>
        </w:rPr>
        <w:t xml:space="preserve">n both cases the elimination of the drug is equivalent to heterogeneous photocatalysis without </w:t>
      </w:r>
      <w:r w:rsidR="00267BB1">
        <w:rPr>
          <w:rFonts w:asciiTheme="minorHAnsi" w:hAnsiTheme="minorHAnsi"/>
          <w:sz w:val="20"/>
          <w:szCs w:val="20"/>
          <w:lang w:val="en-GB" w:eastAsia="en-US"/>
        </w:rPr>
        <w:t>H</w:t>
      </w:r>
      <w:r w:rsidR="00267BB1" w:rsidRPr="00267BB1">
        <w:rPr>
          <w:rFonts w:asciiTheme="minorHAnsi" w:hAnsiTheme="minorHAnsi"/>
          <w:sz w:val="20"/>
          <w:szCs w:val="20"/>
          <w:vertAlign w:val="subscript"/>
          <w:lang w:val="en-GB" w:eastAsia="en-US"/>
        </w:rPr>
        <w:t>2</w:t>
      </w:r>
      <w:r w:rsidR="00267BB1">
        <w:rPr>
          <w:rFonts w:asciiTheme="minorHAnsi" w:hAnsiTheme="minorHAnsi"/>
          <w:sz w:val="20"/>
          <w:szCs w:val="20"/>
          <w:lang w:val="en-GB" w:eastAsia="en-US"/>
        </w:rPr>
        <w:t>O</w:t>
      </w:r>
      <w:r w:rsidR="00267BB1" w:rsidRPr="00267BB1">
        <w:rPr>
          <w:rFonts w:asciiTheme="minorHAnsi" w:hAnsiTheme="minorHAnsi"/>
          <w:sz w:val="20"/>
          <w:szCs w:val="20"/>
          <w:vertAlign w:val="subscript"/>
          <w:lang w:val="en-GB" w:eastAsia="en-US"/>
        </w:rPr>
        <w:t>2</w:t>
      </w:r>
      <w:r w:rsidR="00A347C1">
        <w:rPr>
          <w:rFonts w:asciiTheme="minorHAnsi" w:hAnsiTheme="minorHAnsi"/>
          <w:sz w:val="20"/>
          <w:szCs w:val="20"/>
          <w:lang w:val="en-GB" w:eastAsia="en-US"/>
        </w:rPr>
        <w:t>.</w:t>
      </w:r>
    </w:p>
    <w:p w:rsidR="00A347C1" w:rsidRDefault="008738AB" w:rsidP="00EC6220">
      <w:pPr>
        <w:jc w:val="both"/>
        <w:rPr>
          <w:rFonts w:asciiTheme="minorHAnsi" w:hAnsiTheme="minorHAnsi"/>
          <w:sz w:val="20"/>
          <w:szCs w:val="20"/>
          <w:lang w:val="en-GB" w:eastAsia="en-US"/>
        </w:rPr>
      </w:pPr>
      <w:r>
        <w:rPr>
          <w:rFonts w:asciiTheme="minorHAnsi" w:hAnsiTheme="minorHAnsi"/>
          <w:sz w:val="20"/>
          <w:szCs w:val="20"/>
          <w:lang w:val="en-GB" w:eastAsia="en-US"/>
        </w:rPr>
        <w:t>The influence of Ph during heterogeneous photocatalysis was explored. The pH of the system was modified by 0,1 molar HCl or NaOH. From the graph at the Fig. 3 it is evident that the adjustment to acidic area is very advantageous for diclofenac removal.</w:t>
      </w:r>
      <w:r w:rsidR="00267BB1">
        <w:rPr>
          <w:rFonts w:asciiTheme="minorHAnsi" w:hAnsiTheme="minorHAnsi"/>
          <w:sz w:val="20"/>
          <w:szCs w:val="20"/>
          <w:lang w:val="en-GB" w:eastAsia="en-US"/>
        </w:rPr>
        <w:t xml:space="preserve"> A</w:t>
      </w:r>
      <w:r w:rsidR="003F169B">
        <w:rPr>
          <w:rFonts w:asciiTheme="minorHAnsi" w:hAnsiTheme="minorHAnsi"/>
          <w:sz w:val="20"/>
          <w:szCs w:val="20"/>
          <w:lang w:val="en-GB" w:eastAsia="en-US"/>
        </w:rPr>
        <w:t>fter 40 minutes of experiment, diclofenac has been already eliminated from water.</w:t>
      </w:r>
      <w:r w:rsidR="00757144">
        <w:rPr>
          <w:rFonts w:asciiTheme="minorHAnsi" w:hAnsiTheme="minorHAnsi"/>
          <w:sz w:val="20"/>
          <w:szCs w:val="20"/>
          <w:lang w:val="en-GB" w:eastAsia="en-US"/>
        </w:rPr>
        <w:t xml:space="preserve"> On the other hand in alkaline area the removal efficiency did not differ from heterogeneous photocatalysis at neutral pH. Similar results were achieved in case of naproxen removal (Fig. 4). During acidic pH there was 92% removal of this pharmaceutical. Again, conversion of naproxen in alkaline conditions was comparable to the photocatalysis in neutral pH.</w:t>
      </w:r>
    </w:p>
    <w:p w:rsidR="00757144" w:rsidRDefault="00757144" w:rsidP="00EC6220">
      <w:pPr>
        <w:jc w:val="both"/>
        <w:rPr>
          <w:rFonts w:asciiTheme="minorHAnsi" w:hAnsiTheme="minorHAnsi"/>
          <w:sz w:val="20"/>
          <w:szCs w:val="20"/>
          <w:lang w:val="en-GB" w:eastAsia="en-US"/>
        </w:rPr>
      </w:pPr>
    </w:p>
    <w:p w:rsidR="00757144" w:rsidRPr="004E050A" w:rsidRDefault="00757144" w:rsidP="00757144">
      <w:pPr>
        <w:rPr>
          <w:rFonts w:asciiTheme="minorHAnsi" w:hAnsiTheme="minorHAnsi"/>
          <w:sz w:val="20"/>
          <w:szCs w:val="20"/>
          <w:lang w:val="en-GB"/>
        </w:rPr>
      </w:pPr>
      <w:r w:rsidRPr="0083108A">
        <w:rPr>
          <w:rFonts w:asciiTheme="minorHAnsi" w:hAnsiTheme="minorHAnsi"/>
          <w:noProof/>
          <w:sz w:val="20"/>
          <w:szCs w:val="20"/>
          <w:lang w:val="cs-CZ" w:eastAsia="cs-CZ"/>
        </w:rPr>
        <w:drawing>
          <wp:inline distT="0" distB="0" distL="0" distR="0">
            <wp:extent cx="4320000" cy="3240000"/>
            <wp:effectExtent l="0" t="0" r="4445"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57144" w:rsidRDefault="00306FAC" w:rsidP="00757144">
      <w:pPr>
        <w:jc w:val="both"/>
        <w:rPr>
          <w:rFonts w:asciiTheme="minorHAnsi" w:hAnsiTheme="minorHAnsi"/>
          <w:sz w:val="20"/>
          <w:szCs w:val="20"/>
          <w:lang w:val="en-GB"/>
        </w:rPr>
      </w:pPr>
      <w:r>
        <w:rPr>
          <w:rFonts w:asciiTheme="minorHAnsi" w:hAnsiTheme="minorHAnsi"/>
          <w:sz w:val="20"/>
          <w:szCs w:val="20"/>
          <w:lang w:val="en-GB"/>
        </w:rPr>
        <w:t xml:space="preserve">Figure </w:t>
      </w:r>
      <w:r w:rsidR="00757144" w:rsidRPr="004E050A">
        <w:rPr>
          <w:rFonts w:asciiTheme="minorHAnsi" w:hAnsiTheme="minorHAnsi"/>
          <w:sz w:val="20"/>
          <w:szCs w:val="20"/>
          <w:lang w:val="en-GB"/>
        </w:rPr>
        <w:t>1.</w:t>
      </w:r>
      <w:r>
        <w:rPr>
          <w:rFonts w:asciiTheme="minorHAnsi" w:hAnsiTheme="minorHAnsi"/>
          <w:sz w:val="20"/>
          <w:szCs w:val="20"/>
          <w:lang w:val="en-GB"/>
        </w:rPr>
        <w:t xml:space="preserve"> </w:t>
      </w:r>
      <w:r w:rsidR="00757144">
        <w:rPr>
          <w:rFonts w:asciiTheme="minorHAnsi" w:hAnsiTheme="minorHAnsi"/>
          <w:sz w:val="20"/>
          <w:szCs w:val="20"/>
          <w:lang w:val="en-GB"/>
        </w:rPr>
        <w:t>Degradation of diclofenac using photolysis, heterogeneous photocatalysis and photocatalysis with hydrogen peroxide</w:t>
      </w:r>
    </w:p>
    <w:p w:rsidR="00757144" w:rsidRDefault="00757144" w:rsidP="00757144">
      <w:pPr>
        <w:jc w:val="both"/>
        <w:rPr>
          <w:rFonts w:asciiTheme="minorHAnsi" w:hAnsiTheme="minorHAnsi"/>
          <w:sz w:val="20"/>
          <w:szCs w:val="20"/>
          <w:lang w:val="en-GB"/>
        </w:rPr>
      </w:pPr>
    </w:p>
    <w:p w:rsidR="00757144" w:rsidRPr="004E050A" w:rsidRDefault="00757144" w:rsidP="00757144">
      <w:pPr>
        <w:jc w:val="both"/>
        <w:rPr>
          <w:rFonts w:asciiTheme="minorHAnsi" w:hAnsiTheme="minorHAnsi"/>
          <w:sz w:val="20"/>
          <w:szCs w:val="20"/>
          <w:lang w:val="en-GB"/>
        </w:rPr>
      </w:pPr>
      <w:r w:rsidRPr="004925CD">
        <w:rPr>
          <w:rFonts w:asciiTheme="minorHAnsi" w:hAnsiTheme="minorHAnsi"/>
          <w:noProof/>
          <w:sz w:val="20"/>
          <w:szCs w:val="20"/>
          <w:lang w:val="cs-CZ" w:eastAsia="cs-CZ"/>
        </w:rPr>
        <w:lastRenderedPageBreak/>
        <w:drawing>
          <wp:inline distT="0" distB="0" distL="0" distR="0">
            <wp:extent cx="4320000" cy="3240000"/>
            <wp:effectExtent l="0" t="0" r="4445" b="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57144" w:rsidRDefault="00757144" w:rsidP="00757144">
      <w:pPr>
        <w:jc w:val="both"/>
        <w:rPr>
          <w:rFonts w:asciiTheme="minorHAnsi" w:hAnsiTheme="minorHAnsi"/>
          <w:sz w:val="20"/>
          <w:szCs w:val="20"/>
          <w:lang w:val="en-GB"/>
        </w:rPr>
      </w:pPr>
      <w:r w:rsidRPr="004E050A">
        <w:rPr>
          <w:rFonts w:asciiTheme="minorHAnsi" w:hAnsiTheme="minorHAnsi"/>
          <w:sz w:val="20"/>
          <w:szCs w:val="20"/>
          <w:lang w:val="en-GB"/>
        </w:rPr>
        <w:t xml:space="preserve">Figure </w:t>
      </w:r>
      <w:r>
        <w:rPr>
          <w:rFonts w:asciiTheme="minorHAnsi" w:hAnsiTheme="minorHAnsi"/>
          <w:sz w:val="20"/>
          <w:szCs w:val="20"/>
          <w:lang w:val="en-GB"/>
        </w:rPr>
        <w:t>2</w:t>
      </w:r>
      <w:r w:rsidRPr="004E050A">
        <w:rPr>
          <w:rFonts w:asciiTheme="minorHAnsi" w:hAnsiTheme="minorHAnsi"/>
          <w:sz w:val="20"/>
          <w:szCs w:val="20"/>
          <w:lang w:val="en-GB"/>
        </w:rPr>
        <w:t>.</w:t>
      </w:r>
      <w:r w:rsidR="00306FAC">
        <w:rPr>
          <w:rFonts w:asciiTheme="minorHAnsi" w:hAnsiTheme="minorHAnsi"/>
          <w:sz w:val="20"/>
          <w:szCs w:val="20"/>
          <w:lang w:val="en-GB"/>
        </w:rPr>
        <w:t xml:space="preserve"> </w:t>
      </w:r>
      <w:r>
        <w:rPr>
          <w:rFonts w:asciiTheme="minorHAnsi" w:hAnsiTheme="minorHAnsi"/>
          <w:sz w:val="20"/>
          <w:szCs w:val="20"/>
          <w:lang w:val="en-GB"/>
        </w:rPr>
        <w:t>Degradation of naproxen using photolysis, heterogeneous photocatalysis and photocatalysis with hydrogen peroxide</w:t>
      </w:r>
    </w:p>
    <w:p w:rsidR="00757144" w:rsidRPr="004E050A" w:rsidRDefault="00757144" w:rsidP="00757144">
      <w:pPr>
        <w:jc w:val="both"/>
        <w:rPr>
          <w:rFonts w:asciiTheme="minorHAnsi" w:hAnsiTheme="minorHAnsi"/>
          <w:sz w:val="20"/>
          <w:szCs w:val="20"/>
          <w:lang w:val="en-GB"/>
        </w:rPr>
      </w:pPr>
    </w:p>
    <w:p w:rsidR="00757144" w:rsidRPr="004E050A" w:rsidRDefault="00757144" w:rsidP="00757144">
      <w:pPr>
        <w:jc w:val="both"/>
        <w:rPr>
          <w:rFonts w:asciiTheme="minorHAnsi" w:hAnsiTheme="minorHAnsi"/>
          <w:sz w:val="20"/>
          <w:szCs w:val="20"/>
          <w:lang w:val="en-GB"/>
        </w:rPr>
      </w:pPr>
      <w:r w:rsidRPr="00EC6220">
        <w:rPr>
          <w:rFonts w:asciiTheme="minorHAnsi" w:hAnsiTheme="minorHAnsi"/>
          <w:noProof/>
          <w:sz w:val="20"/>
          <w:szCs w:val="20"/>
          <w:lang w:val="cs-CZ" w:eastAsia="cs-CZ"/>
        </w:rPr>
        <w:drawing>
          <wp:inline distT="0" distB="0" distL="0" distR="0">
            <wp:extent cx="4320000" cy="3240000"/>
            <wp:effectExtent l="0" t="0" r="4445" b="0"/>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57144" w:rsidRPr="004E050A" w:rsidRDefault="00757144" w:rsidP="00757144">
      <w:pPr>
        <w:jc w:val="both"/>
        <w:rPr>
          <w:rFonts w:asciiTheme="minorHAnsi" w:hAnsiTheme="minorHAnsi"/>
          <w:sz w:val="20"/>
          <w:szCs w:val="20"/>
          <w:lang w:val="en-GB"/>
        </w:rPr>
      </w:pPr>
    </w:p>
    <w:p w:rsidR="00757144" w:rsidRPr="004E050A" w:rsidRDefault="00757144" w:rsidP="00757144">
      <w:pPr>
        <w:widowControl w:val="0"/>
        <w:autoSpaceDE w:val="0"/>
        <w:autoSpaceDN w:val="0"/>
        <w:adjustRightInd w:val="0"/>
        <w:jc w:val="both"/>
        <w:rPr>
          <w:rFonts w:asciiTheme="minorHAnsi" w:hAnsiTheme="minorHAnsi"/>
          <w:b/>
          <w:sz w:val="20"/>
          <w:szCs w:val="20"/>
          <w:lang w:val="en-GB"/>
        </w:rPr>
      </w:pPr>
      <w:r w:rsidRPr="004E050A">
        <w:rPr>
          <w:rFonts w:asciiTheme="minorHAnsi" w:hAnsiTheme="minorHAnsi"/>
          <w:sz w:val="20"/>
          <w:szCs w:val="20"/>
          <w:lang w:val="en-GB"/>
        </w:rPr>
        <w:t xml:space="preserve">Figure </w:t>
      </w:r>
      <w:r>
        <w:rPr>
          <w:rFonts w:asciiTheme="minorHAnsi" w:hAnsiTheme="minorHAnsi"/>
          <w:sz w:val="20"/>
          <w:szCs w:val="20"/>
          <w:lang w:val="en-GB"/>
        </w:rPr>
        <w:t>3</w:t>
      </w:r>
      <w:r w:rsidRPr="004E050A">
        <w:rPr>
          <w:rFonts w:asciiTheme="minorHAnsi" w:hAnsiTheme="minorHAnsi"/>
          <w:sz w:val="20"/>
          <w:szCs w:val="20"/>
          <w:lang w:val="en-GB"/>
        </w:rPr>
        <w:t>.</w:t>
      </w:r>
      <w:r w:rsidR="00306FAC">
        <w:rPr>
          <w:rFonts w:asciiTheme="minorHAnsi" w:hAnsiTheme="minorHAnsi"/>
          <w:sz w:val="20"/>
          <w:szCs w:val="20"/>
          <w:lang w:val="en-GB"/>
        </w:rPr>
        <w:t xml:space="preserve"> </w:t>
      </w:r>
      <w:r>
        <w:rPr>
          <w:rFonts w:asciiTheme="minorHAnsi" w:hAnsiTheme="minorHAnsi"/>
          <w:sz w:val="20"/>
          <w:szCs w:val="20"/>
          <w:lang w:val="en-GB"/>
        </w:rPr>
        <w:t>Degradation of diclofenac at different pH</w:t>
      </w:r>
    </w:p>
    <w:p w:rsidR="00757144" w:rsidRPr="004E050A" w:rsidRDefault="00757144" w:rsidP="00757144">
      <w:pPr>
        <w:jc w:val="both"/>
        <w:rPr>
          <w:rFonts w:asciiTheme="minorHAnsi" w:hAnsiTheme="minorHAnsi"/>
          <w:sz w:val="20"/>
          <w:szCs w:val="20"/>
          <w:lang w:val="en-GB"/>
        </w:rPr>
      </w:pPr>
    </w:p>
    <w:p w:rsidR="00757144" w:rsidRDefault="00306FAC" w:rsidP="00757144">
      <w:pPr>
        <w:pStyle w:val="Nadpis2"/>
        <w:rPr>
          <w:rFonts w:asciiTheme="minorHAnsi" w:hAnsiTheme="minorHAnsi"/>
          <w:sz w:val="24"/>
          <w:szCs w:val="24"/>
        </w:rPr>
      </w:pPr>
      <w:r w:rsidRPr="00306FAC">
        <w:rPr>
          <w:rFonts w:asciiTheme="minorHAnsi" w:hAnsiTheme="minorHAnsi"/>
          <w:noProof/>
          <w:sz w:val="24"/>
          <w:szCs w:val="24"/>
          <w:lang w:val="cs-CZ" w:eastAsia="cs-CZ"/>
        </w:rPr>
        <w:lastRenderedPageBreak/>
        <w:drawing>
          <wp:inline distT="0" distB="0" distL="0" distR="0">
            <wp:extent cx="4320000" cy="3238500"/>
            <wp:effectExtent l="19050" t="0" r="2340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347C1" w:rsidRPr="00757144" w:rsidRDefault="00757144" w:rsidP="00757144">
      <w:pPr>
        <w:widowControl w:val="0"/>
        <w:autoSpaceDE w:val="0"/>
        <w:autoSpaceDN w:val="0"/>
        <w:adjustRightInd w:val="0"/>
        <w:jc w:val="both"/>
        <w:rPr>
          <w:rFonts w:asciiTheme="minorHAnsi" w:hAnsiTheme="minorHAnsi"/>
          <w:sz w:val="20"/>
          <w:szCs w:val="20"/>
          <w:lang w:val="en-GB"/>
        </w:rPr>
      </w:pPr>
      <w:r w:rsidRPr="00757144">
        <w:rPr>
          <w:rFonts w:asciiTheme="minorHAnsi" w:hAnsiTheme="minorHAnsi"/>
          <w:sz w:val="20"/>
          <w:szCs w:val="20"/>
          <w:lang w:val="en-GB"/>
        </w:rPr>
        <w:t>Figure 4. Degradation of naproxen at different pH</w:t>
      </w:r>
    </w:p>
    <w:p w:rsidR="00757144" w:rsidRDefault="00757144" w:rsidP="00757144">
      <w:pPr>
        <w:jc w:val="both"/>
        <w:rPr>
          <w:rFonts w:asciiTheme="minorHAnsi" w:hAnsiTheme="minorHAnsi"/>
          <w:sz w:val="20"/>
          <w:szCs w:val="20"/>
          <w:lang w:val="en-GB" w:eastAsia="en-US"/>
        </w:rPr>
      </w:pPr>
    </w:p>
    <w:p w:rsidR="00306FAC" w:rsidRPr="00A347C1" w:rsidRDefault="00306FAC" w:rsidP="00757144">
      <w:pPr>
        <w:jc w:val="both"/>
        <w:rPr>
          <w:rFonts w:asciiTheme="minorHAnsi" w:hAnsiTheme="minorHAnsi"/>
          <w:sz w:val="20"/>
          <w:szCs w:val="20"/>
          <w:lang w:val="en-GB" w:eastAsia="en-US"/>
        </w:rPr>
      </w:pPr>
      <w:r>
        <w:rPr>
          <w:rFonts w:asciiTheme="minorHAnsi" w:hAnsiTheme="minorHAnsi"/>
          <w:sz w:val="20"/>
          <w:szCs w:val="20"/>
          <w:lang w:val="en-GB" w:eastAsia="en-US"/>
        </w:rPr>
        <w:t>Furthermore, basic parameters and capability of heterogeneous photocatalysis were evaluated for surface water from river Labe.</w:t>
      </w:r>
      <w:r w:rsidR="00190395">
        <w:rPr>
          <w:rFonts w:asciiTheme="minorHAnsi" w:hAnsiTheme="minorHAnsi"/>
          <w:sz w:val="20"/>
          <w:szCs w:val="20"/>
          <w:lang w:val="en-GB" w:eastAsia="en-US"/>
        </w:rPr>
        <w:t xml:space="preserve"> Samples were taken in Pardubice, March 2016. Here is located the central flow of the river. Flow was approximately 60 </w:t>
      </w:r>
      <w:r w:rsidR="00190395" w:rsidRPr="00190395">
        <w:rPr>
          <w:rFonts w:asciiTheme="minorHAnsi" w:hAnsiTheme="minorHAnsi"/>
          <w:sz w:val="20"/>
          <w:szCs w:val="20"/>
          <w:lang w:val="en-US" w:eastAsia="en-US"/>
        </w:rPr>
        <w:t>m</w:t>
      </w:r>
      <w:r w:rsidR="00190395" w:rsidRPr="00190395">
        <w:rPr>
          <w:rFonts w:asciiTheme="minorHAnsi" w:hAnsiTheme="minorHAnsi"/>
          <w:sz w:val="20"/>
          <w:szCs w:val="20"/>
          <w:vertAlign w:val="superscript"/>
          <w:lang w:val="en-US" w:eastAsia="en-US"/>
        </w:rPr>
        <w:t>3</w:t>
      </w:r>
      <w:r w:rsidR="00190395" w:rsidRPr="00190395">
        <w:rPr>
          <w:rFonts w:asciiTheme="minorHAnsi" w:hAnsiTheme="minorHAnsi"/>
          <w:sz w:val="20"/>
          <w:szCs w:val="20"/>
          <w:lang w:val="en-US" w:eastAsia="en-US"/>
        </w:rPr>
        <w:t>/sec</w:t>
      </w:r>
      <w:r w:rsidR="00190395">
        <w:rPr>
          <w:rFonts w:asciiTheme="minorHAnsi" w:hAnsiTheme="minorHAnsi"/>
          <w:sz w:val="20"/>
          <w:szCs w:val="20"/>
          <w:lang w:val="en-US" w:eastAsia="en-US"/>
        </w:rPr>
        <w:t xml:space="preserve">. In Table 1 are shown water quality parameters before and after photocatalytic process. Best results were given for COD removal, where the efficiency was 27 %, and TOC removal (10 %). </w:t>
      </w:r>
      <w:r w:rsidR="00881CF2">
        <w:rPr>
          <w:rFonts w:asciiTheme="minorHAnsi" w:hAnsiTheme="minorHAnsi"/>
          <w:sz w:val="20"/>
          <w:szCs w:val="20"/>
          <w:lang w:val="en-US" w:eastAsia="en-US"/>
        </w:rPr>
        <w:t>Despite the COD decreased, BOD</w:t>
      </w:r>
      <w:r w:rsidR="00881CF2" w:rsidRPr="000759F6">
        <w:rPr>
          <w:rFonts w:asciiTheme="minorHAnsi" w:hAnsiTheme="minorHAnsi"/>
          <w:sz w:val="20"/>
          <w:szCs w:val="20"/>
          <w:vertAlign w:val="subscript"/>
          <w:lang w:val="en-US" w:eastAsia="en-US"/>
        </w:rPr>
        <w:t>5</w:t>
      </w:r>
      <w:r w:rsidR="00881CF2">
        <w:rPr>
          <w:rFonts w:asciiTheme="minorHAnsi" w:hAnsiTheme="minorHAnsi"/>
          <w:sz w:val="20"/>
          <w:szCs w:val="20"/>
          <w:lang w:val="en-US" w:eastAsia="en-US"/>
        </w:rPr>
        <w:t>/COD</w:t>
      </w:r>
      <w:r w:rsidR="00881CF2" w:rsidRPr="000759F6">
        <w:rPr>
          <w:rFonts w:asciiTheme="minorHAnsi" w:hAnsiTheme="minorHAnsi"/>
          <w:sz w:val="20"/>
          <w:szCs w:val="20"/>
          <w:vertAlign w:val="subscript"/>
          <w:lang w:val="en-US" w:eastAsia="en-US"/>
        </w:rPr>
        <w:t>Cr</w:t>
      </w:r>
      <w:r w:rsidR="00881CF2">
        <w:rPr>
          <w:rFonts w:asciiTheme="minorHAnsi" w:hAnsiTheme="minorHAnsi"/>
          <w:sz w:val="20"/>
          <w:szCs w:val="20"/>
          <w:lang w:val="en-US" w:eastAsia="en-US"/>
        </w:rPr>
        <w:t xml:space="preserve"> ratio remained stable at a value 0.35 indicating good biodegradability of the water. </w:t>
      </w:r>
      <w:r w:rsidR="00D75DC5">
        <w:rPr>
          <w:rFonts w:asciiTheme="minorHAnsi" w:hAnsiTheme="minorHAnsi"/>
          <w:sz w:val="20"/>
          <w:szCs w:val="20"/>
          <w:lang w:val="en-US" w:eastAsia="en-US"/>
        </w:rPr>
        <w:t>G</w:t>
      </w:r>
      <w:r w:rsidR="00190395">
        <w:rPr>
          <w:rFonts w:asciiTheme="minorHAnsi" w:hAnsiTheme="minorHAnsi"/>
          <w:sz w:val="20"/>
          <w:szCs w:val="20"/>
          <w:lang w:val="en-US" w:eastAsia="en-US"/>
        </w:rPr>
        <w:t>oo</w:t>
      </w:r>
      <w:r w:rsidR="00D75DC5">
        <w:rPr>
          <w:rFonts w:asciiTheme="minorHAnsi" w:hAnsiTheme="minorHAnsi"/>
          <w:sz w:val="20"/>
          <w:szCs w:val="20"/>
          <w:lang w:val="en-US" w:eastAsia="en-US"/>
        </w:rPr>
        <w:t xml:space="preserve">d results were also </w:t>
      </w:r>
      <w:r w:rsidR="00881CF2">
        <w:rPr>
          <w:rFonts w:asciiTheme="minorHAnsi" w:hAnsiTheme="minorHAnsi"/>
          <w:sz w:val="20"/>
          <w:szCs w:val="20"/>
          <w:lang w:val="en-US" w:eastAsia="en-US"/>
        </w:rPr>
        <w:t xml:space="preserve">evaluated </w:t>
      </w:r>
      <w:r w:rsidR="00D75DC5">
        <w:rPr>
          <w:rFonts w:asciiTheme="minorHAnsi" w:hAnsiTheme="minorHAnsi"/>
          <w:sz w:val="20"/>
          <w:szCs w:val="20"/>
          <w:lang w:val="en-US" w:eastAsia="en-US"/>
        </w:rPr>
        <w:t xml:space="preserve">for absorbance at 254 nm, where 50% decrease of absorbance occurred. </w:t>
      </w:r>
      <w:r w:rsidR="00DA27B2">
        <w:rPr>
          <w:rFonts w:asciiTheme="minorHAnsi" w:hAnsiTheme="minorHAnsi"/>
          <w:sz w:val="20"/>
          <w:szCs w:val="20"/>
          <w:lang w:val="en-US" w:eastAsia="en-US"/>
        </w:rPr>
        <w:t xml:space="preserve">Also in case of microbial removal was heterogeneous photocatalysis advantageous. </w:t>
      </w:r>
    </w:p>
    <w:p w:rsidR="005A4E96" w:rsidRPr="004E050A" w:rsidRDefault="005A4E96" w:rsidP="00AA58F3">
      <w:pPr>
        <w:widowControl w:val="0"/>
        <w:autoSpaceDE w:val="0"/>
        <w:autoSpaceDN w:val="0"/>
        <w:adjustRightInd w:val="0"/>
        <w:jc w:val="both"/>
        <w:rPr>
          <w:rFonts w:asciiTheme="minorHAnsi" w:hAnsiTheme="minorHAnsi"/>
          <w:sz w:val="20"/>
          <w:szCs w:val="20"/>
          <w:lang w:val="en-GB"/>
        </w:rPr>
      </w:pPr>
    </w:p>
    <w:p w:rsidR="00AA58F3" w:rsidRPr="004E050A" w:rsidRDefault="00AA58F3" w:rsidP="00AA58F3">
      <w:pPr>
        <w:widowControl w:val="0"/>
        <w:autoSpaceDE w:val="0"/>
        <w:autoSpaceDN w:val="0"/>
        <w:adjustRightInd w:val="0"/>
        <w:jc w:val="both"/>
        <w:rPr>
          <w:rFonts w:asciiTheme="minorHAnsi" w:hAnsiTheme="minorHAnsi"/>
          <w:sz w:val="20"/>
          <w:szCs w:val="20"/>
          <w:lang w:val="en-GB"/>
        </w:rPr>
      </w:pPr>
      <w:r w:rsidRPr="004E050A">
        <w:rPr>
          <w:rFonts w:asciiTheme="minorHAnsi" w:hAnsiTheme="minorHAnsi"/>
          <w:sz w:val="20"/>
          <w:szCs w:val="20"/>
          <w:lang w:val="en-GB"/>
        </w:rPr>
        <w:t xml:space="preserve">Table </w:t>
      </w:r>
      <w:r w:rsidR="006030A7" w:rsidRPr="004E050A">
        <w:rPr>
          <w:rFonts w:asciiTheme="minorHAnsi" w:hAnsiTheme="minorHAnsi"/>
          <w:sz w:val="20"/>
          <w:szCs w:val="20"/>
          <w:lang w:val="en-GB"/>
        </w:rPr>
        <w:t>I</w:t>
      </w:r>
    </w:p>
    <w:p w:rsidR="00AA58F3" w:rsidRDefault="002C339D" w:rsidP="00AA58F3">
      <w:pPr>
        <w:widowControl w:val="0"/>
        <w:autoSpaceDE w:val="0"/>
        <w:autoSpaceDN w:val="0"/>
        <w:adjustRightInd w:val="0"/>
        <w:jc w:val="both"/>
        <w:rPr>
          <w:rFonts w:asciiTheme="minorHAnsi" w:hAnsiTheme="minorHAnsi"/>
          <w:sz w:val="20"/>
          <w:szCs w:val="20"/>
          <w:lang w:val="en-GB"/>
        </w:rPr>
      </w:pPr>
      <w:r>
        <w:rPr>
          <w:rFonts w:asciiTheme="minorHAnsi" w:hAnsiTheme="minorHAnsi"/>
          <w:sz w:val="20"/>
          <w:szCs w:val="20"/>
          <w:lang w:val="en-GB"/>
        </w:rPr>
        <w:t>Basic parameters of surface water from Labe</w:t>
      </w:r>
    </w:p>
    <w:p w:rsidR="002C339D" w:rsidRPr="004E050A" w:rsidRDefault="002C339D" w:rsidP="00AA58F3">
      <w:pPr>
        <w:widowControl w:val="0"/>
        <w:autoSpaceDE w:val="0"/>
        <w:autoSpaceDN w:val="0"/>
        <w:adjustRightInd w:val="0"/>
        <w:jc w:val="both"/>
        <w:rPr>
          <w:rFonts w:asciiTheme="minorHAnsi" w:hAnsiTheme="minorHAnsi"/>
          <w:bCs/>
          <w:sz w:val="20"/>
          <w:szCs w:val="20"/>
          <w:vertAlign w:val="superscript"/>
          <w:lang w:val="en-GB"/>
        </w:rPr>
      </w:pPr>
    </w:p>
    <w:tbl>
      <w:tblPr>
        <w:tblW w:w="0" w:type="auto"/>
        <w:tblInd w:w="70" w:type="dxa"/>
        <w:tblBorders>
          <w:top w:val="single" w:sz="4" w:space="0" w:color="auto"/>
        </w:tblBorders>
        <w:tblCellMar>
          <w:left w:w="70" w:type="dxa"/>
          <w:right w:w="70" w:type="dxa"/>
        </w:tblCellMar>
        <w:tblLook w:val="0000"/>
      </w:tblPr>
      <w:tblGrid>
        <w:gridCol w:w="3245"/>
        <w:gridCol w:w="1900"/>
        <w:gridCol w:w="1769"/>
      </w:tblGrid>
      <w:tr w:rsidR="002C339D" w:rsidRPr="004E050A" w:rsidTr="00DA27B2">
        <w:trPr>
          <w:trHeight w:val="730"/>
          <w:tblHeader/>
        </w:trPr>
        <w:tc>
          <w:tcPr>
            <w:tcW w:w="0" w:type="auto"/>
            <w:tcBorders>
              <w:top w:val="single" w:sz="4" w:space="0" w:color="auto"/>
              <w:bottom w:val="single" w:sz="4" w:space="0" w:color="auto"/>
            </w:tcBorders>
            <w:vAlign w:val="center"/>
          </w:tcPr>
          <w:p w:rsidR="002C339D" w:rsidRPr="004E050A" w:rsidRDefault="002C339D" w:rsidP="00582C1A">
            <w:pPr>
              <w:tabs>
                <w:tab w:val="left" w:pos="567"/>
              </w:tabs>
              <w:jc w:val="center"/>
              <w:rPr>
                <w:rFonts w:asciiTheme="minorHAnsi" w:hAnsiTheme="minorHAnsi"/>
                <w:sz w:val="20"/>
                <w:szCs w:val="20"/>
                <w:lang w:val="en-GB"/>
              </w:rPr>
            </w:pPr>
            <w:r>
              <w:rPr>
                <w:rFonts w:asciiTheme="minorHAnsi" w:hAnsiTheme="minorHAnsi"/>
                <w:sz w:val="20"/>
                <w:szCs w:val="20"/>
                <w:lang w:val="en-GB"/>
              </w:rPr>
              <w:t>Parameter</w:t>
            </w:r>
          </w:p>
        </w:tc>
        <w:tc>
          <w:tcPr>
            <w:tcW w:w="0" w:type="auto"/>
            <w:tcBorders>
              <w:top w:val="single" w:sz="4" w:space="0" w:color="auto"/>
              <w:bottom w:val="single" w:sz="4" w:space="0" w:color="auto"/>
            </w:tcBorders>
            <w:vAlign w:val="center"/>
          </w:tcPr>
          <w:p w:rsidR="002C339D" w:rsidRPr="004E050A" w:rsidRDefault="002C339D" w:rsidP="005A4E96">
            <w:pPr>
              <w:tabs>
                <w:tab w:val="left" w:pos="567"/>
              </w:tabs>
              <w:jc w:val="center"/>
              <w:rPr>
                <w:rFonts w:asciiTheme="minorHAnsi" w:hAnsiTheme="minorHAnsi"/>
                <w:bCs/>
                <w:sz w:val="20"/>
                <w:szCs w:val="20"/>
                <w:lang w:val="en-GB"/>
              </w:rPr>
            </w:pPr>
            <w:r>
              <w:rPr>
                <w:rFonts w:asciiTheme="minorHAnsi" w:hAnsiTheme="minorHAnsi"/>
                <w:bCs/>
                <w:sz w:val="20"/>
                <w:szCs w:val="20"/>
                <w:lang w:val="en-GB"/>
              </w:rPr>
              <w:t>Before photocatalysis</w:t>
            </w:r>
          </w:p>
        </w:tc>
        <w:tc>
          <w:tcPr>
            <w:tcW w:w="0" w:type="auto"/>
            <w:tcBorders>
              <w:top w:val="single" w:sz="4" w:space="0" w:color="auto"/>
              <w:bottom w:val="single" w:sz="4" w:space="0" w:color="auto"/>
              <w:right w:val="nil"/>
            </w:tcBorders>
            <w:vAlign w:val="center"/>
          </w:tcPr>
          <w:p w:rsidR="002C339D" w:rsidRPr="004E050A" w:rsidRDefault="002C339D" w:rsidP="002C339D">
            <w:pPr>
              <w:tabs>
                <w:tab w:val="left" w:pos="567"/>
              </w:tabs>
              <w:jc w:val="center"/>
              <w:rPr>
                <w:rFonts w:asciiTheme="minorHAnsi" w:hAnsiTheme="minorHAnsi"/>
                <w:bCs/>
                <w:sz w:val="20"/>
                <w:szCs w:val="20"/>
                <w:lang w:val="en-GB"/>
              </w:rPr>
            </w:pPr>
            <w:r>
              <w:rPr>
                <w:rFonts w:asciiTheme="minorHAnsi" w:hAnsiTheme="minorHAnsi"/>
                <w:bCs/>
                <w:sz w:val="20"/>
                <w:szCs w:val="20"/>
                <w:lang w:val="en-GB"/>
              </w:rPr>
              <w:t>After photocatalysis</w:t>
            </w:r>
          </w:p>
        </w:tc>
      </w:tr>
      <w:tr w:rsidR="002C339D" w:rsidRPr="004E050A" w:rsidTr="00DA27B2">
        <w:trPr>
          <w:trHeight w:val="274"/>
        </w:trPr>
        <w:tc>
          <w:tcPr>
            <w:tcW w:w="0" w:type="auto"/>
            <w:tcBorders>
              <w:top w:val="single" w:sz="4" w:space="0" w:color="auto"/>
            </w:tcBorders>
          </w:tcPr>
          <w:p w:rsidR="002C339D" w:rsidRPr="002C339D" w:rsidRDefault="002C339D">
            <w:pPr>
              <w:pStyle w:val="Normlnweb"/>
              <w:spacing w:before="0" w:beforeAutospacing="0" w:after="0" w:afterAutospacing="0" w:line="276" w:lineRule="auto"/>
              <w:jc w:val="center"/>
              <w:rPr>
                <w:rFonts w:ascii="Arial" w:hAnsi="Arial" w:cs="Arial"/>
                <w:sz w:val="20"/>
                <w:szCs w:val="20"/>
              </w:rPr>
            </w:pPr>
            <w:r w:rsidRPr="002C339D">
              <w:rPr>
                <w:rFonts w:ascii="Calibri" w:hAnsi="Calibri" w:cs="Arial"/>
                <w:bCs/>
                <w:color w:val="000000" w:themeColor="text1"/>
                <w:kern w:val="24"/>
                <w:sz w:val="20"/>
                <w:szCs w:val="20"/>
              </w:rPr>
              <w:t>Ph</w:t>
            </w:r>
          </w:p>
        </w:tc>
        <w:tc>
          <w:tcPr>
            <w:tcW w:w="0" w:type="auto"/>
            <w:tcBorders>
              <w:top w:val="single" w:sz="4" w:space="0" w:color="auto"/>
            </w:tcBorders>
          </w:tcPr>
          <w:p w:rsidR="002C339D" w:rsidRPr="002C339D" w:rsidRDefault="002C339D">
            <w:pPr>
              <w:pStyle w:val="Normlnweb"/>
              <w:spacing w:before="0" w:beforeAutospacing="0" w:after="0" w:afterAutospacing="0" w:line="276" w:lineRule="auto"/>
              <w:jc w:val="center"/>
              <w:rPr>
                <w:rFonts w:ascii="Calibri" w:eastAsia="Calibri" w:hAnsi="Calibri"/>
                <w:bCs/>
                <w:color w:val="000000" w:themeColor="text1"/>
                <w:kern w:val="24"/>
                <w:sz w:val="20"/>
                <w:szCs w:val="20"/>
              </w:rPr>
            </w:pPr>
            <w:r w:rsidRPr="002C339D">
              <w:rPr>
                <w:rFonts w:ascii="Calibri" w:eastAsia="Calibri" w:hAnsi="Calibri"/>
                <w:bCs/>
                <w:color w:val="000000" w:themeColor="text1"/>
                <w:kern w:val="24"/>
                <w:sz w:val="20"/>
                <w:szCs w:val="20"/>
              </w:rPr>
              <w:t> 8</w:t>
            </w:r>
          </w:p>
        </w:tc>
        <w:tc>
          <w:tcPr>
            <w:tcW w:w="0" w:type="auto"/>
            <w:tcBorders>
              <w:top w:val="single" w:sz="4" w:space="0" w:color="auto"/>
              <w:right w:val="nil"/>
            </w:tcBorders>
          </w:tcPr>
          <w:p w:rsidR="002C339D" w:rsidRPr="002C339D"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8.15</w:t>
            </w:r>
          </w:p>
        </w:tc>
      </w:tr>
      <w:tr w:rsidR="002C339D" w:rsidRPr="004E050A" w:rsidTr="00DA27B2">
        <w:trPr>
          <w:trHeight w:val="289"/>
        </w:trPr>
        <w:tc>
          <w:tcPr>
            <w:tcW w:w="0" w:type="auto"/>
          </w:tcPr>
          <w:p w:rsidR="002C339D" w:rsidRPr="002C339D" w:rsidRDefault="002C339D">
            <w:pPr>
              <w:pStyle w:val="Normlnweb"/>
              <w:spacing w:before="0" w:beforeAutospacing="0" w:after="0" w:afterAutospacing="0" w:line="276" w:lineRule="auto"/>
              <w:jc w:val="center"/>
              <w:rPr>
                <w:rFonts w:ascii="Arial" w:hAnsi="Arial" w:cs="Arial"/>
                <w:sz w:val="20"/>
                <w:szCs w:val="20"/>
              </w:rPr>
            </w:pPr>
            <w:r w:rsidRPr="002C339D">
              <w:rPr>
                <w:rFonts w:ascii="Calibri" w:hAnsi="Calibri" w:cs="Arial"/>
                <w:bCs/>
                <w:color w:val="000000" w:themeColor="text1"/>
                <w:kern w:val="24"/>
                <w:sz w:val="20"/>
                <w:szCs w:val="20"/>
              </w:rPr>
              <w:t>Conductivity (</w:t>
            </w:r>
            <w:r w:rsidRPr="002C339D">
              <w:rPr>
                <w:rFonts w:ascii="Calibri" w:hAnsi="Calibri" w:cs="Arial"/>
                <w:bCs/>
                <w:color w:val="000000" w:themeColor="text1"/>
                <w:kern w:val="24"/>
                <w:sz w:val="20"/>
                <w:szCs w:val="20"/>
                <w:lang w:val="el-GR"/>
              </w:rPr>
              <w:t>μ</w:t>
            </w:r>
            <w:r w:rsidRPr="002C339D">
              <w:rPr>
                <w:rFonts w:ascii="Calibri" w:hAnsi="Calibri" w:cs="Arial"/>
                <w:bCs/>
                <w:color w:val="000000" w:themeColor="text1"/>
                <w:kern w:val="24"/>
                <w:sz w:val="20"/>
                <w:szCs w:val="20"/>
              </w:rPr>
              <w:t>S/cm)</w:t>
            </w:r>
          </w:p>
        </w:tc>
        <w:tc>
          <w:tcPr>
            <w:tcW w:w="0" w:type="auto"/>
          </w:tcPr>
          <w:p w:rsidR="002C339D" w:rsidRPr="002C339D" w:rsidRDefault="002C339D">
            <w:pPr>
              <w:pStyle w:val="Normlnweb"/>
              <w:spacing w:before="0" w:beforeAutospacing="0" w:after="0" w:afterAutospacing="0" w:line="276" w:lineRule="auto"/>
              <w:jc w:val="center"/>
              <w:rPr>
                <w:rFonts w:ascii="Calibri" w:eastAsia="Calibri" w:hAnsi="Calibri"/>
                <w:bCs/>
                <w:color w:val="000000" w:themeColor="text1"/>
                <w:kern w:val="24"/>
                <w:sz w:val="20"/>
                <w:szCs w:val="20"/>
              </w:rPr>
            </w:pPr>
            <w:r w:rsidRPr="002C339D">
              <w:rPr>
                <w:rFonts w:ascii="Calibri" w:eastAsia="Calibri" w:hAnsi="Calibri"/>
                <w:bCs/>
                <w:color w:val="000000" w:themeColor="text1"/>
                <w:kern w:val="24"/>
                <w:sz w:val="20"/>
                <w:szCs w:val="20"/>
              </w:rPr>
              <w:t> 330</w:t>
            </w:r>
          </w:p>
        </w:tc>
        <w:tc>
          <w:tcPr>
            <w:tcW w:w="0" w:type="auto"/>
            <w:tcBorders>
              <w:right w:val="nil"/>
            </w:tcBorders>
          </w:tcPr>
          <w:p w:rsidR="002C339D" w:rsidRPr="002C339D"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350</w:t>
            </w:r>
          </w:p>
        </w:tc>
      </w:tr>
      <w:tr w:rsidR="002C339D" w:rsidRPr="004E050A" w:rsidTr="00DA27B2">
        <w:trPr>
          <w:trHeight w:val="289"/>
        </w:trPr>
        <w:tc>
          <w:tcPr>
            <w:tcW w:w="0" w:type="auto"/>
          </w:tcPr>
          <w:p w:rsidR="002C339D" w:rsidRPr="002C339D" w:rsidRDefault="002C339D">
            <w:pPr>
              <w:pStyle w:val="Normlnweb"/>
              <w:spacing w:before="0" w:beforeAutospacing="0" w:after="0" w:afterAutospacing="0" w:line="276" w:lineRule="auto"/>
              <w:jc w:val="center"/>
              <w:rPr>
                <w:rFonts w:ascii="Arial" w:hAnsi="Arial" w:cs="Arial"/>
                <w:sz w:val="20"/>
                <w:szCs w:val="20"/>
              </w:rPr>
            </w:pPr>
            <w:r w:rsidRPr="002C339D">
              <w:rPr>
                <w:rFonts w:ascii="Calibri" w:eastAsia="Calibri" w:hAnsi="Calibri"/>
                <w:bCs/>
                <w:color w:val="000000" w:themeColor="text1"/>
                <w:kern w:val="24"/>
                <w:sz w:val="20"/>
                <w:szCs w:val="20"/>
              </w:rPr>
              <w:t>ORP (mV)</w:t>
            </w:r>
          </w:p>
        </w:tc>
        <w:tc>
          <w:tcPr>
            <w:tcW w:w="0" w:type="auto"/>
          </w:tcPr>
          <w:p w:rsidR="002C339D" w:rsidRPr="002C339D" w:rsidRDefault="002C339D">
            <w:pPr>
              <w:pStyle w:val="Normlnweb"/>
              <w:spacing w:before="0" w:beforeAutospacing="0" w:after="0" w:afterAutospacing="0" w:line="276" w:lineRule="auto"/>
              <w:jc w:val="center"/>
              <w:rPr>
                <w:rFonts w:ascii="Calibri" w:eastAsia="Calibri" w:hAnsi="Calibri"/>
                <w:bCs/>
                <w:color w:val="000000" w:themeColor="text1"/>
                <w:kern w:val="24"/>
                <w:sz w:val="20"/>
                <w:szCs w:val="20"/>
              </w:rPr>
            </w:pPr>
            <w:r w:rsidRPr="002C339D">
              <w:rPr>
                <w:rFonts w:ascii="Calibri" w:eastAsia="Calibri" w:hAnsi="Calibri"/>
                <w:bCs/>
                <w:color w:val="000000" w:themeColor="text1"/>
                <w:kern w:val="24"/>
                <w:sz w:val="20"/>
                <w:szCs w:val="20"/>
              </w:rPr>
              <w:t>32</w:t>
            </w:r>
          </w:p>
        </w:tc>
        <w:tc>
          <w:tcPr>
            <w:tcW w:w="0" w:type="auto"/>
            <w:tcBorders>
              <w:right w:val="nil"/>
            </w:tcBorders>
          </w:tcPr>
          <w:p w:rsidR="002C339D" w:rsidRPr="002C339D"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53,5</w:t>
            </w:r>
          </w:p>
        </w:tc>
      </w:tr>
      <w:tr w:rsidR="002C339D" w:rsidRPr="004E050A" w:rsidTr="00DA27B2">
        <w:trPr>
          <w:trHeight w:val="289"/>
        </w:trPr>
        <w:tc>
          <w:tcPr>
            <w:tcW w:w="0" w:type="auto"/>
          </w:tcPr>
          <w:p w:rsidR="002C339D" w:rsidRPr="00582C1A"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COD</w:t>
            </w:r>
            <w:r w:rsidRPr="00F3116F">
              <w:rPr>
                <w:rFonts w:ascii="Calibri" w:hAnsi="Calibri" w:cs="Arial"/>
                <w:bCs/>
                <w:color w:val="000000" w:themeColor="text1"/>
                <w:kern w:val="24"/>
                <w:sz w:val="20"/>
                <w:szCs w:val="20"/>
                <w:vertAlign w:val="subscript"/>
              </w:rPr>
              <w:t>Cr</w:t>
            </w:r>
            <w:r w:rsidRPr="002C339D">
              <w:rPr>
                <w:rFonts w:ascii="Calibri" w:hAnsi="Calibri" w:cs="Arial"/>
                <w:bCs/>
                <w:color w:val="000000" w:themeColor="text1"/>
                <w:kern w:val="24"/>
                <w:sz w:val="20"/>
                <w:szCs w:val="20"/>
              </w:rPr>
              <w:t xml:space="preserve"> (mg/L)</w:t>
            </w:r>
          </w:p>
        </w:tc>
        <w:tc>
          <w:tcPr>
            <w:tcW w:w="0" w:type="auto"/>
          </w:tcPr>
          <w:p w:rsidR="002C339D" w:rsidRPr="002C339D" w:rsidRDefault="002C339D">
            <w:pPr>
              <w:pStyle w:val="Normlnweb"/>
              <w:spacing w:before="0" w:beforeAutospacing="0" w:after="0" w:afterAutospacing="0" w:line="276" w:lineRule="auto"/>
              <w:jc w:val="center"/>
              <w:rPr>
                <w:rFonts w:ascii="Calibri" w:eastAsia="Calibri" w:hAnsi="Calibri"/>
                <w:bCs/>
                <w:color w:val="000000" w:themeColor="text1"/>
                <w:kern w:val="24"/>
                <w:sz w:val="20"/>
                <w:szCs w:val="20"/>
              </w:rPr>
            </w:pPr>
            <w:r w:rsidRPr="002C339D">
              <w:rPr>
                <w:rFonts w:ascii="Calibri" w:eastAsia="Calibri" w:hAnsi="Calibri"/>
                <w:bCs/>
                <w:color w:val="000000" w:themeColor="text1"/>
                <w:kern w:val="24"/>
                <w:sz w:val="20"/>
                <w:szCs w:val="20"/>
              </w:rPr>
              <w:t> 16.6</w:t>
            </w:r>
          </w:p>
        </w:tc>
        <w:tc>
          <w:tcPr>
            <w:tcW w:w="0" w:type="auto"/>
            <w:tcBorders>
              <w:right w:val="nil"/>
            </w:tcBorders>
          </w:tcPr>
          <w:p w:rsidR="002C339D" w:rsidRPr="002C339D"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12.2</w:t>
            </w:r>
          </w:p>
        </w:tc>
      </w:tr>
      <w:tr w:rsidR="002C339D" w:rsidRPr="004E050A" w:rsidTr="00DA27B2">
        <w:trPr>
          <w:trHeight w:val="274"/>
        </w:trPr>
        <w:tc>
          <w:tcPr>
            <w:tcW w:w="0" w:type="auto"/>
            <w:tcBorders>
              <w:bottom w:val="nil"/>
            </w:tcBorders>
          </w:tcPr>
          <w:p w:rsidR="002C339D" w:rsidRPr="00582C1A"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BOD</w:t>
            </w:r>
            <w:r w:rsidRPr="00F3116F">
              <w:rPr>
                <w:rFonts w:ascii="Calibri" w:hAnsi="Calibri" w:cs="Arial"/>
                <w:bCs/>
                <w:color w:val="000000" w:themeColor="text1"/>
                <w:kern w:val="24"/>
                <w:sz w:val="20"/>
                <w:szCs w:val="20"/>
                <w:vertAlign w:val="subscript"/>
              </w:rPr>
              <w:t>5</w:t>
            </w:r>
            <w:r w:rsidRPr="002C339D">
              <w:rPr>
                <w:rFonts w:ascii="Calibri" w:hAnsi="Calibri" w:cs="Arial"/>
                <w:bCs/>
                <w:color w:val="000000" w:themeColor="text1"/>
                <w:kern w:val="24"/>
                <w:sz w:val="20"/>
                <w:szCs w:val="20"/>
              </w:rPr>
              <w:t xml:space="preserve"> (mg/L)</w:t>
            </w:r>
          </w:p>
        </w:tc>
        <w:tc>
          <w:tcPr>
            <w:tcW w:w="0" w:type="auto"/>
            <w:tcBorders>
              <w:bottom w:val="nil"/>
            </w:tcBorders>
          </w:tcPr>
          <w:p w:rsidR="002C339D" w:rsidRPr="002C339D" w:rsidRDefault="002C339D">
            <w:pPr>
              <w:pStyle w:val="Normlnweb"/>
              <w:spacing w:before="0" w:beforeAutospacing="0" w:after="0" w:afterAutospacing="0" w:line="276" w:lineRule="auto"/>
              <w:jc w:val="center"/>
              <w:rPr>
                <w:rFonts w:ascii="Calibri" w:eastAsia="Calibri" w:hAnsi="Calibri"/>
                <w:bCs/>
                <w:color w:val="000000" w:themeColor="text1"/>
                <w:kern w:val="24"/>
                <w:sz w:val="20"/>
                <w:szCs w:val="20"/>
              </w:rPr>
            </w:pPr>
            <w:r w:rsidRPr="002C339D">
              <w:rPr>
                <w:rFonts w:ascii="Calibri" w:eastAsia="Calibri" w:hAnsi="Calibri"/>
                <w:bCs/>
                <w:color w:val="000000" w:themeColor="text1"/>
                <w:kern w:val="24"/>
                <w:sz w:val="20"/>
                <w:szCs w:val="20"/>
              </w:rPr>
              <w:t> 5.7</w:t>
            </w:r>
          </w:p>
        </w:tc>
        <w:tc>
          <w:tcPr>
            <w:tcW w:w="0" w:type="auto"/>
            <w:tcBorders>
              <w:bottom w:val="nil"/>
              <w:right w:val="nil"/>
            </w:tcBorders>
          </w:tcPr>
          <w:p w:rsidR="002C339D" w:rsidRPr="002C339D" w:rsidRDefault="002C339D">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2C339D">
              <w:rPr>
                <w:rFonts w:ascii="Calibri" w:hAnsi="Calibri" w:cs="Arial"/>
                <w:bCs/>
                <w:color w:val="000000" w:themeColor="text1"/>
                <w:kern w:val="24"/>
                <w:sz w:val="20"/>
                <w:szCs w:val="20"/>
              </w:rPr>
              <w:t>4.6</w:t>
            </w:r>
          </w:p>
        </w:tc>
      </w:tr>
      <w:tr w:rsidR="00F3116F" w:rsidRPr="004E050A" w:rsidTr="00DA27B2">
        <w:trPr>
          <w:trHeight w:val="226"/>
        </w:trPr>
        <w:tc>
          <w:tcPr>
            <w:tcW w:w="0" w:type="auto"/>
            <w:vMerge w:val="restart"/>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r>
              <w:rPr>
                <w:rFonts w:ascii="Calibri" w:hAnsi="Calibri" w:cs="Arial"/>
                <w:bCs/>
                <w:color w:val="000000" w:themeColor="text1"/>
                <w:kern w:val="24"/>
                <w:sz w:val="20"/>
                <w:szCs w:val="20"/>
              </w:rPr>
              <w:t>TOC (mg/L)</w:t>
            </w:r>
          </w:p>
          <w:p w:rsidR="00F3116F" w:rsidRPr="00582C1A" w:rsidRDefault="00F3116F" w:rsidP="009E4AE6">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582C1A">
              <w:rPr>
                <w:rFonts w:ascii="Calibri" w:hAnsi="Calibri" w:cs="Arial"/>
                <w:bCs/>
                <w:color w:val="000000" w:themeColor="text1"/>
                <w:kern w:val="24"/>
                <w:sz w:val="20"/>
                <w:szCs w:val="20"/>
              </w:rPr>
              <w:t>N</w:t>
            </w:r>
            <w:r>
              <w:rPr>
                <w:rFonts w:ascii="Calibri" w:hAnsi="Calibri" w:cs="Arial"/>
                <w:bCs/>
                <w:color w:val="000000" w:themeColor="text1"/>
                <w:kern w:val="24"/>
                <w:sz w:val="20"/>
                <w:szCs w:val="20"/>
              </w:rPr>
              <w:t>-</w:t>
            </w:r>
            <w:r w:rsidRPr="00582C1A">
              <w:rPr>
                <w:rFonts w:ascii="Calibri" w:hAnsi="Calibri" w:cs="Arial"/>
                <w:bCs/>
                <w:color w:val="000000" w:themeColor="text1"/>
                <w:kern w:val="24"/>
                <w:sz w:val="20"/>
                <w:szCs w:val="20"/>
              </w:rPr>
              <w:t>NO</w:t>
            </w:r>
            <w:r w:rsidRPr="00F3116F">
              <w:rPr>
                <w:rFonts w:ascii="Calibri" w:hAnsi="Calibri" w:cs="Arial"/>
                <w:bCs/>
                <w:color w:val="000000" w:themeColor="text1"/>
                <w:kern w:val="24"/>
                <w:sz w:val="20"/>
                <w:szCs w:val="20"/>
                <w:vertAlign w:val="superscript"/>
              </w:rPr>
              <w:t xml:space="preserve">3- </w:t>
            </w:r>
            <w:r w:rsidRPr="00582C1A">
              <w:rPr>
                <w:rFonts w:ascii="Calibri" w:hAnsi="Calibri" w:cs="Arial"/>
                <w:bCs/>
                <w:color w:val="000000" w:themeColor="text1"/>
                <w:kern w:val="24"/>
                <w:sz w:val="20"/>
                <w:szCs w:val="20"/>
              </w:rPr>
              <w:t>(mg/L)</w:t>
            </w:r>
          </w:p>
          <w:p w:rsidR="00F3116F" w:rsidRPr="00582C1A" w:rsidRDefault="00F3116F" w:rsidP="009E4AE6">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582C1A">
              <w:rPr>
                <w:rFonts w:ascii="Calibri" w:hAnsi="Calibri" w:cs="Arial"/>
                <w:bCs/>
                <w:color w:val="000000" w:themeColor="text1"/>
                <w:kern w:val="24"/>
                <w:sz w:val="20"/>
                <w:szCs w:val="20"/>
              </w:rPr>
              <w:t>N</w:t>
            </w:r>
            <w:r>
              <w:rPr>
                <w:rFonts w:ascii="Calibri" w:hAnsi="Calibri" w:cs="Arial"/>
                <w:bCs/>
                <w:color w:val="000000" w:themeColor="text1"/>
                <w:kern w:val="24"/>
                <w:sz w:val="20"/>
                <w:szCs w:val="20"/>
              </w:rPr>
              <w:t>-</w:t>
            </w:r>
            <w:r w:rsidRPr="00582C1A">
              <w:rPr>
                <w:rFonts w:ascii="Calibri" w:hAnsi="Calibri" w:cs="Arial"/>
                <w:bCs/>
                <w:color w:val="000000" w:themeColor="text1"/>
                <w:kern w:val="24"/>
                <w:sz w:val="20"/>
                <w:szCs w:val="20"/>
              </w:rPr>
              <w:t>NO</w:t>
            </w:r>
            <w:r w:rsidRPr="00F3116F">
              <w:rPr>
                <w:rFonts w:ascii="Calibri" w:hAnsi="Calibri" w:cs="Arial"/>
                <w:bCs/>
                <w:color w:val="000000" w:themeColor="text1"/>
                <w:kern w:val="24"/>
                <w:sz w:val="20"/>
                <w:szCs w:val="20"/>
                <w:vertAlign w:val="superscript"/>
              </w:rPr>
              <w:t>2-</w:t>
            </w:r>
            <w:r w:rsidRPr="00582C1A">
              <w:rPr>
                <w:rFonts w:ascii="Calibri" w:hAnsi="Calibri" w:cs="Arial"/>
                <w:bCs/>
                <w:color w:val="000000" w:themeColor="text1"/>
                <w:kern w:val="24"/>
                <w:sz w:val="20"/>
                <w:szCs w:val="20"/>
              </w:rPr>
              <w:t xml:space="preserve"> (mg/L)</w:t>
            </w:r>
          </w:p>
          <w:p w:rsidR="00F3116F" w:rsidRPr="00582C1A" w:rsidRDefault="00F3116F" w:rsidP="009E4AE6">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582C1A">
              <w:rPr>
                <w:rFonts w:ascii="Calibri" w:hAnsi="Calibri" w:cs="Arial"/>
                <w:bCs/>
                <w:color w:val="000000" w:themeColor="text1"/>
                <w:kern w:val="24"/>
                <w:sz w:val="20"/>
                <w:szCs w:val="20"/>
              </w:rPr>
              <w:t>P</w:t>
            </w:r>
            <w:r>
              <w:rPr>
                <w:rFonts w:ascii="Calibri" w:hAnsi="Calibri" w:cs="Arial"/>
                <w:bCs/>
                <w:color w:val="000000" w:themeColor="text1"/>
                <w:kern w:val="24"/>
                <w:sz w:val="20"/>
                <w:szCs w:val="20"/>
              </w:rPr>
              <w:t>-</w:t>
            </w:r>
            <w:r w:rsidRPr="00582C1A">
              <w:rPr>
                <w:rFonts w:ascii="Calibri" w:hAnsi="Calibri" w:cs="Arial"/>
                <w:bCs/>
                <w:color w:val="000000" w:themeColor="text1"/>
                <w:kern w:val="24"/>
                <w:sz w:val="20"/>
                <w:szCs w:val="20"/>
              </w:rPr>
              <w:t>PO</w:t>
            </w:r>
            <w:r w:rsidRPr="00F3116F">
              <w:rPr>
                <w:rFonts w:ascii="Calibri" w:hAnsi="Calibri" w:cs="Arial"/>
                <w:bCs/>
                <w:color w:val="000000" w:themeColor="text1"/>
                <w:kern w:val="24"/>
                <w:sz w:val="20"/>
                <w:szCs w:val="20"/>
                <w:vertAlign w:val="subscript"/>
              </w:rPr>
              <w:t>4</w:t>
            </w:r>
            <w:r w:rsidRPr="00F3116F">
              <w:rPr>
                <w:rFonts w:ascii="Calibri" w:hAnsi="Calibri" w:cs="Arial"/>
                <w:bCs/>
                <w:color w:val="000000" w:themeColor="text1"/>
                <w:kern w:val="24"/>
                <w:sz w:val="20"/>
                <w:szCs w:val="20"/>
                <w:vertAlign w:val="superscript"/>
              </w:rPr>
              <w:t>3-</w:t>
            </w:r>
            <w:r w:rsidRPr="00582C1A">
              <w:rPr>
                <w:rFonts w:ascii="Calibri" w:hAnsi="Calibri" w:cs="Arial"/>
                <w:bCs/>
                <w:color w:val="000000" w:themeColor="text1"/>
                <w:kern w:val="24"/>
                <w:sz w:val="20"/>
                <w:szCs w:val="20"/>
              </w:rPr>
              <w:t xml:space="preserve"> (mg/L)</w:t>
            </w:r>
          </w:p>
          <w:p w:rsidR="00F3116F" w:rsidRPr="00582C1A" w:rsidRDefault="00F3116F" w:rsidP="009E4AE6">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582C1A">
              <w:rPr>
                <w:rFonts w:ascii="Calibri" w:hAnsi="Calibri" w:cs="Arial"/>
                <w:bCs/>
                <w:color w:val="000000" w:themeColor="text1"/>
                <w:kern w:val="24"/>
                <w:sz w:val="20"/>
                <w:szCs w:val="20"/>
              </w:rPr>
              <w:t>Absorbance</w:t>
            </w:r>
            <w:r w:rsidRPr="00D75DC5">
              <w:rPr>
                <w:rFonts w:ascii="Calibri" w:hAnsi="Calibri" w:cs="Arial"/>
                <w:bCs/>
                <w:color w:val="000000" w:themeColor="text1"/>
                <w:kern w:val="24"/>
                <w:sz w:val="20"/>
                <w:szCs w:val="20"/>
                <w:vertAlign w:val="subscript"/>
              </w:rPr>
              <w:t>254</w:t>
            </w:r>
            <w:r w:rsidRPr="00582C1A">
              <w:rPr>
                <w:rFonts w:ascii="Calibri" w:hAnsi="Calibri" w:cs="Arial"/>
                <w:bCs/>
                <w:color w:val="000000" w:themeColor="text1"/>
                <w:kern w:val="24"/>
                <w:sz w:val="20"/>
                <w:szCs w:val="20"/>
              </w:rPr>
              <w:t xml:space="preserve"> (ZF)</w:t>
            </w:r>
          </w:p>
          <w:p w:rsidR="00F3116F" w:rsidRPr="002C339D" w:rsidRDefault="00F3116F" w:rsidP="00F3116F">
            <w:pPr>
              <w:pStyle w:val="Normlnweb"/>
              <w:spacing w:before="0" w:beforeAutospacing="0" w:after="0" w:afterAutospacing="0" w:line="276" w:lineRule="auto"/>
              <w:jc w:val="center"/>
              <w:rPr>
                <w:rFonts w:ascii="Calibri" w:hAnsi="Calibri" w:cs="Arial"/>
                <w:bCs/>
                <w:color w:val="000000" w:themeColor="text1"/>
                <w:kern w:val="24"/>
                <w:sz w:val="20"/>
                <w:szCs w:val="20"/>
              </w:rPr>
            </w:pPr>
            <w:r w:rsidRPr="00582C1A">
              <w:rPr>
                <w:rFonts w:ascii="Calibri" w:hAnsi="Calibri" w:cs="Arial"/>
                <w:bCs/>
                <w:color w:val="000000" w:themeColor="text1"/>
                <w:kern w:val="24"/>
                <w:sz w:val="20"/>
                <w:szCs w:val="20"/>
              </w:rPr>
              <w:t>Enumeration</w:t>
            </w:r>
            <w:r w:rsidR="00190395">
              <w:rPr>
                <w:rFonts w:ascii="Calibri" w:hAnsi="Calibri" w:cs="Arial"/>
                <w:bCs/>
                <w:color w:val="000000" w:themeColor="text1"/>
                <w:kern w:val="24"/>
                <w:sz w:val="20"/>
                <w:szCs w:val="20"/>
              </w:rPr>
              <w:t xml:space="preserve"> </w:t>
            </w:r>
            <w:r w:rsidRPr="00582C1A">
              <w:rPr>
                <w:rFonts w:ascii="Calibri" w:hAnsi="Calibri" w:cs="Arial"/>
                <w:bCs/>
                <w:color w:val="000000" w:themeColor="text1"/>
                <w:kern w:val="24"/>
                <w:sz w:val="20"/>
                <w:szCs w:val="20"/>
              </w:rPr>
              <w:t>of</w:t>
            </w:r>
            <w:r w:rsidR="00190395">
              <w:rPr>
                <w:rFonts w:ascii="Calibri" w:hAnsi="Calibri" w:cs="Arial"/>
                <w:bCs/>
                <w:color w:val="000000" w:themeColor="text1"/>
                <w:kern w:val="24"/>
                <w:sz w:val="20"/>
                <w:szCs w:val="20"/>
              </w:rPr>
              <w:t xml:space="preserve"> </w:t>
            </w:r>
            <w:r w:rsidRPr="00582C1A">
              <w:rPr>
                <w:rFonts w:ascii="Calibri" w:hAnsi="Calibri" w:cs="Arial"/>
                <w:bCs/>
                <w:color w:val="000000" w:themeColor="text1"/>
                <w:kern w:val="24"/>
                <w:sz w:val="20"/>
                <w:szCs w:val="20"/>
              </w:rPr>
              <w:t>microorganisms (CFU)</w:t>
            </w:r>
          </w:p>
        </w:tc>
        <w:tc>
          <w:tcPr>
            <w:tcW w:w="0" w:type="auto"/>
            <w:tcBorders>
              <w:top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6.3</w:t>
            </w:r>
          </w:p>
        </w:tc>
        <w:tc>
          <w:tcPr>
            <w:tcW w:w="0" w:type="auto"/>
            <w:tcBorders>
              <w:top w:val="nil"/>
              <w:right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5.8</w:t>
            </w:r>
          </w:p>
        </w:tc>
      </w:tr>
      <w:tr w:rsidR="00F3116F" w:rsidRPr="004E050A" w:rsidTr="00DA27B2">
        <w:trPr>
          <w:trHeight w:val="245"/>
        </w:trPr>
        <w:tc>
          <w:tcPr>
            <w:tcW w:w="0" w:type="auto"/>
            <w:vMerge/>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tcBorders>
              <w:top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69.4</w:t>
            </w:r>
          </w:p>
        </w:tc>
        <w:tc>
          <w:tcPr>
            <w:tcW w:w="0" w:type="auto"/>
            <w:tcBorders>
              <w:top w:val="nil"/>
              <w:right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68.9</w:t>
            </w:r>
          </w:p>
        </w:tc>
      </w:tr>
      <w:tr w:rsidR="00F3116F" w:rsidRPr="004E050A" w:rsidTr="00DA27B2">
        <w:trPr>
          <w:trHeight w:val="274"/>
        </w:trPr>
        <w:tc>
          <w:tcPr>
            <w:tcW w:w="0" w:type="auto"/>
            <w:vMerge/>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tcBorders>
              <w:top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0.59</w:t>
            </w:r>
          </w:p>
        </w:tc>
        <w:tc>
          <w:tcPr>
            <w:tcW w:w="0" w:type="auto"/>
            <w:tcBorders>
              <w:top w:val="nil"/>
              <w:right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0.56</w:t>
            </w:r>
          </w:p>
        </w:tc>
      </w:tr>
      <w:tr w:rsidR="00F3116F" w:rsidRPr="004E050A" w:rsidTr="00DA27B2">
        <w:trPr>
          <w:trHeight w:val="166"/>
        </w:trPr>
        <w:tc>
          <w:tcPr>
            <w:tcW w:w="0" w:type="auto"/>
            <w:vMerge/>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tcBorders>
              <w:top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0.096</w:t>
            </w:r>
          </w:p>
        </w:tc>
        <w:tc>
          <w:tcPr>
            <w:tcW w:w="0" w:type="auto"/>
            <w:tcBorders>
              <w:top w:val="nil"/>
              <w:right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0.255</w:t>
            </w:r>
          </w:p>
        </w:tc>
      </w:tr>
      <w:tr w:rsidR="00F3116F" w:rsidRPr="004E050A" w:rsidTr="00DA27B2">
        <w:trPr>
          <w:trHeight w:val="289"/>
        </w:trPr>
        <w:tc>
          <w:tcPr>
            <w:tcW w:w="0" w:type="auto"/>
            <w:vMerge/>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tcBorders>
              <w:top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15.3</w:t>
            </w:r>
          </w:p>
        </w:tc>
        <w:tc>
          <w:tcPr>
            <w:tcW w:w="0" w:type="auto"/>
            <w:tcBorders>
              <w:top w:val="nil"/>
              <w:right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7.5</w:t>
            </w:r>
          </w:p>
        </w:tc>
      </w:tr>
      <w:tr w:rsidR="00F3116F" w:rsidRPr="004E050A" w:rsidTr="00DA27B2">
        <w:trPr>
          <w:trHeight w:val="228"/>
        </w:trPr>
        <w:tc>
          <w:tcPr>
            <w:tcW w:w="0" w:type="auto"/>
            <w:vMerge/>
            <w:tcBorders>
              <w:top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tcBorders>
              <w:top w:val="nil"/>
              <w:bottom w:val="nil"/>
            </w:tcBorders>
            <w:vAlign w:val="center"/>
          </w:tcPr>
          <w:p w:rsidR="00F3116F" w:rsidRPr="004E050A" w:rsidRDefault="00F3116F" w:rsidP="00A6647F">
            <w:pPr>
              <w:tabs>
                <w:tab w:val="left" w:pos="567"/>
              </w:tabs>
              <w:jc w:val="center"/>
              <w:rPr>
                <w:rFonts w:asciiTheme="minorHAnsi" w:hAnsiTheme="minorHAnsi"/>
                <w:sz w:val="20"/>
                <w:szCs w:val="20"/>
                <w:lang w:val="en-GB"/>
              </w:rPr>
            </w:pPr>
            <w:r>
              <w:rPr>
                <w:rFonts w:asciiTheme="minorHAnsi" w:hAnsiTheme="minorHAnsi"/>
                <w:sz w:val="20"/>
                <w:szCs w:val="20"/>
                <w:lang w:val="en-GB"/>
              </w:rPr>
              <w:t>4.9x10</w:t>
            </w:r>
            <w:r w:rsidRPr="00DA27B2">
              <w:rPr>
                <w:rFonts w:asciiTheme="minorHAnsi" w:hAnsiTheme="minorHAnsi"/>
                <w:sz w:val="20"/>
                <w:szCs w:val="20"/>
                <w:vertAlign w:val="superscript"/>
                <w:lang w:val="en-GB"/>
              </w:rPr>
              <w:t>3</w:t>
            </w:r>
          </w:p>
        </w:tc>
        <w:tc>
          <w:tcPr>
            <w:tcW w:w="0" w:type="auto"/>
            <w:tcBorders>
              <w:top w:val="nil"/>
              <w:bottom w:val="nil"/>
              <w:right w:val="nil"/>
            </w:tcBorders>
            <w:vAlign w:val="center"/>
          </w:tcPr>
          <w:p w:rsidR="00F3116F" w:rsidRPr="004E050A" w:rsidRDefault="00F3116F" w:rsidP="00F3116F">
            <w:pPr>
              <w:tabs>
                <w:tab w:val="left" w:pos="567"/>
              </w:tabs>
              <w:jc w:val="center"/>
              <w:rPr>
                <w:rFonts w:asciiTheme="minorHAnsi" w:hAnsiTheme="minorHAnsi"/>
                <w:sz w:val="20"/>
                <w:szCs w:val="20"/>
                <w:lang w:val="en-GB"/>
              </w:rPr>
            </w:pPr>
            <w:r>
              <w:rPr>
                <w:rFonts w:asciiTheme="minorHAnsi" w:hAnsiTheme="minorHAnsi"/>
                <w:sz w:val="20"/>
                <w:szCs w:val="20"/>
                <w:lang w:val="en-GB"/>
              </w:rPr>
              <w:t>0.7x10</w:t>
            </w:r>
            <w:r w:rsidRPr="00DA27B2">
              <w:rPr>
                <w:rFonts w:asciiTheme="minorHAnsi" w:hAnsiTheme="minorHAnsi"/>
                <w:sz w:val="20"/>
                <w:szCs w:val="20"/>
                <w:vertAlign w:val="superscript"/>
                <w:lang w:val="en-GB"/>
              </w:rPr>
              <w:t>3</w:t>
            </w:r>
          </w:p>
        </w:tc>
      </w:tr>
      <w:tr w:rsidR="00F3116F" w:rsidRPr="004E050A" w:rsidTr="00DA27B2">
        <w:trPr>
          <w:trHeight w:val="623"/>
        </w:trPr>
        <w:tc>
          <w:tcPr>
            <w:tcW w:w="0" w:type="auto"/>
            <w:vMerge/>
            <w:tcBorders>
              <w:top w:val="nil"/>
              <w:bottom w:val="single" w:sz="4" w:space="0" w:color="auto"/>
              <w:right w:val="nil"/>
            </w:tcBorders>
          </w:tcPr>
          <w:p w:rsidR="00F3116F" w:rsidRDefault="00F3116F" w:rsidP="00582C1A">
            <w:pPr>
              <w:pStyle w:val="Normlnweb"/>
              <w:spacing w:before="0" w:beforeAutospacing="0" w:after="0" w:afterAutospacing="0" w:line="276" w:lineRule="auto"/>
              <w:jc w:val="center"/>
              <w:rPr>
                <w:rFonts w:ascii="Calibri" w:hAnsi="Calibri" w:cs="Arial"/>
                <w:bCs/>
                <w:color w:val="000000" w:themeColor="text1"/>
                <w:kern w:val="24"/>
                <w:sz w:val="20"/>
                <w:szCs w:val="20"/>
              </w:rPr>
            </w:pPr>
          </w:p>
        </w:tc>
        <w:tc>
          <w:tcPr>
            <w:tcW w:w="0" w:type="auto"/>
            <w:gridSpan w:val="2"/>
            <w:tcBorders>
              <w:top w:val="nil"/>
              <w:left w:val="nil"/>
              <w:bottom w:val="single" w:sz="4" w:space="0" w:color="auto"/>
              <w:right w:val="nil"/>
            </w:tcBorders>
            <w:shd w:val="clear" w:color="auto" w:fill="auto"/>
          </w:tcPr>
          <w:p w:rsidR="00F3116F" w:rsidRPr="004E050A" w:rsidRDefault="00F3116F">
            <w:pPr>
              <w:spacing w:after="200" w:line="276" w:lineRule="auto"/>
            </w:pPr>
          </w:p>
        </w:tc>
      </w:tr>
    </w:tbl>
    <w:p w:rsidR="00AA58F3" w:rsidRDefault="00AA58F3" w:rsidP="00AA58F3">
      <w:pPr>
        <w:jc w:val="both"/>
        <w:rPr>
          <w:rFonts w:asciiTheme="minorHAnsi" w:hAnsiTheme="minorHAnsi"/>
          <w:sz w:val="20"/>
          <w:szCs w:val="20"/>
          <w:lang w:val="en-GB"/>
        </w:rPr>
      </w:pPr>
    </w:p>
    <w:p w:rsidR="00172890" w:rsidRPr="004E050A" w:rsidRDefault="00172890" w:rsidP="00AA58F3">
      <w:pPr>
        <w:jc w:val="both"/>
        <w:rPr>
          <w:rFonts w:asciiTheme="minorHAnsi" w:hAnsiTheme="minorHAnsi"/>
          <w:sz w:val="20"/>
          <w:szCs w:val="20"/>
          <w:lang w:val="en-GB"/>
        </w:rPr>
      </w:pPr>
    </w:p>
    <w:p w:rsidR="00306FAC" w:rsidRPr="00826028" w:rsidRDefault="00306FAC" w:rsidP="00306FAC">
      <w:pPr>
        <w:pStyle w:val="Nadpis2"/>
        <w:rPr>
          <w:rFonts w:asciiTheme="minorHAnsi" w:hAnsiTheme="minorHAnsi"/>
          <w:sz w:val="24"/>
          <w:szCs w:val="24"/>
        </w:rPr>
      </w:pPr>
      <w:r w:rsidRPr="00826028">
        <w:rPr>
          <w:rFonts w:asciiTheme="minorHAnsi" w:hAnsiTheme="minorHAnsi"/>
          <w:sz w:val="24"/>
          <w:szCs w:val="24"/>
        </w:rPr>
        <w:lastRenderedPageBreak/>
        <w:t>Conclusion</w:t>
      </w:r>
    </w:p>
    <w:p w:rsidR="00DA27B2" w:rsidRPr="00DA27B2" w:rsidRDefault="00DA27B2" w:rsidP="00DA27B2">
      <w:pPr>
        <w:jc w:val="both"/>
        <w:rPr>
          <w:rFonts w:asciiTheme="minorHAnsi" w:hAnsiTheme="minorHAnsi"/>
          <w:sz w:val="20"/>
          <w:szCs w:val="20"/>
          <w:lang w:val="en-GB" w:eastAsia="en-US"/>
        </w:rPr>
      </w:pPr>
      <w:bookmarkStart w:id="0" w:name="_GoBack"/>
      <w:bookmarkEnd w:id="0"/>
      <w:r w:rsidRPr="00DA27B2">
        <w:rPr>
          <w:rFonts w:asciiTheme="minorHAnsi" w:hAnsiTheme="minorHAnsi"/>
          <w:sz w:val="20"/>
          <w:szCs w:val="20"/>
          <w:lang w:val="en-GB" w:eastAsia="en-US"/>
        </w:rPr>
        <w:t xml:space="preserve">Heterogeneous photocatalysis </w:t>
      </w:r>
      <w:r w:rsidR="00881CF2">
        <w:rPr>
          <w:rFonts w:asciiTheme="minorHAnsi" w:hAnsiTheme="minorHAnsi"/>
          <w:sz w:val="20"/>
          <w:szCs w:val="20"/>
          <w:lang w:val="en-GB" w:eastAsia="en-US"/>
        </w:rPr>
        <w:t>was proved as a</w:t>
      </w:r>
      <w:r w:rsidRPr="00DA27B2">
        <w:rPr>
          <w:rFonts w:asciiTheme="minorHAnsi" w:hAnsiTheme="minorHAnsi"/>
          <w:sz w:val="20"/>
          <w:szCs w:val="20"/>
          <w:lang w:val="en-GB" w:eastAsia="en-US"/>
        </w:rPr>
        <w:t xml:space="preserve"> feasible method for treatment of waters containing pharmaceutical residues. Photocatalytic processes showed impressive results in diclofenac and naproxen removal. These </w:t>
      </w:r>
      <w:r w:rsidR="00881CF2">
        <w:rPr>
          <w:rFonts w:asciiTheme="minorHAnsi" w:hAnsiTheme="minorHAnsi"/>
          <w:sz w:val="20"/>
          <w:szCs w:val="20"/>
          <w:lang w:val="en-GB" w:eastAsia="en-US"/>
        </w:rPr>
        <w:t xml:space="preserve">values </w:t>
      </w:r>
      <w:r w:rsidRPr="00DA27B2">
        <w:rPr>
          <w:rFonts w:asciiTheme="minorHAnsi" w:hAnsiTheme="minorHAnsi"/>
          <w:sz w:val="20"/>
          <w:szCs w:val="20"/>
          <w:lang w:val="en-GB" w:eastAsia="en-US"/>
        </w:rPr>
        <w:t xml:space="preserve">are varying from 90 % to almost </w:t>
      </w:r>
      <w:r w:rsidR="00881CF2">
        <w:rPr>
          <w:rFonts w:asciiTheme="minorHAnsi" w:hAnsiTheme="minorHAnsi"/>
          <w:sz w:val="20"/>
          <w:szCs w:val="20"/>
          <w:lang w:val="en-GB" w:eastAsia="en-US"/>
        </w:rPr>
        <w:t>100</w:t>
      </w:r>
      <w:r w:rsidRPr="00DA27B2">
        <w:rPr>
          <w:rFonts w:asciiTheme="minorHAnsi" w:hAnsiTheme="minorHAnsi"/>
          <w:sz w:val="20"/>
          <w:szCs w:val="20"/>
          <w:lang w:val="en-GB" w:eastAsia="en-US"/>
        </w:rPr>
        <w:t xml:space="preserve"> % for naproxen and diclofenac. Removal rate can be enhanced by H</w:t>
      </w:r>
      <w:r w:rsidRPr="00881CF2">
        <w:rPr>
          <w:rFonts w:asciiTheme="minorHAnsi" w:hAnsiTheme="minorHAnsi"/>
          <w:sz w:val="20"/>
          <w:szCs w:val="20"/>
          <w:vertAlign w:val="subscript"/>
          <w:lang w:val="en-GB" w:eastAsia="en-US"/>
        </w:rPr>
        <w:t>2</w:t>
      </w:r>
      <w:r w:rsidRPr="00DA27B2">
        <w:rPr>
          <w:rFonts w:asciiTheme="minorHAnsi" w:hAnsiTheme="minorHAnsi"/>
          <w:sz w:val="20"/>
          <w:szCs w:val="20"/>
          <w:lang w:val="en-GB" w:eastAsia="en-US"/>
        </w:rPr>
        <w:t>O</w:t>
      </w:r>
      <w:r w:rsidRPr="00881CF2">
        <w:rPr>
          <w:rFonts w:asciiTheme="minorHAnsi" w:hAnsiTheme="minorHAnsi"/>
          <w:sz w:val="20"/>
          <w:szCs w:val="20"/>
          <w:vertAlign w:val="subscript"/>
          <w:lang w:val="en-GB" w:eastAsia="en-US"/>
        </w:rPr>
        <w:t>2</w:t>
      </w:r>
      <w:r w:rsidRPr="00DA27B2">
        <w:rPr>
          <w:rFonts w:asciiTheme="minorHAnsi" w:hAnsiTheme="minorHAnsi"/>
          <w:sz w:val="20"/>
          <w:szCs w:val="20"/>
          <w:lang w:val="en-GB" w:eastAsia="en-US"/>
        </w:rPr>
        <w:t xml:space="preserve"> addition or acidic pH conditions. </w:t>
      </w:r>
      <w:r w:rsidR="00881CF2">
        <w:rPr>
          <w:rFonts w:asciiTheme="minorHAnsi" w:hAnsiTheme="minorHAnsi"/>
          <w:sz w:val="20"/>
          <w:szCs w:val="20"/>
          <w:lang w:val="en-GB" w:eastAsia="en-US"/>
        </w:rPr>
        <w:t xml:space="preserve">In acidic pH 100% and 92% removal for diclofenac and naproxen occurred. </w:t>
      </w:r>
      <w:r w:rsidRPr="00DA27B2">
        <w:rPr>
          <w:rFonts w:asciiTheme="minorHAnsi" w:hAnsiTheme="minorHAnsi"/>
          <w:sz w:val="20"/>
          <w:szCs w:val="20"/>
          <w:lang w:val="en-GB" w:eastAsia="en-US"/>
        </w:rPr>
        <w:t>In case of real water determination the best results were obtained for COD removal, while BOD</w:t>
      </w:r>
      <w:r w:rsidRPr="00881CF2">
        <w:rPr>
          <w:rFonts w:asciiTheme="minorHAnsi" w:hAnsiTheme="minorHAnsi"/>
          <w:sz w:val="20"/>
          <w:szCs w:val="20"/>
          <w:vertAlign w:val="subscript"/>
          <w:lang w:val="en-GB" w:eastAsia="en-US"/>
        </w:rPr>
        <w:t>5</w:t>
      </w:r>
      <w:r w:rsidRPr="00DA27B2">
        <w:rPr>
          <w:rFonts w:asciiTheme="minorHAnsi" w:hAnsiTheme="minorHAnsi"/>
          <w:sz w:val="20"/>
          <w:szCs w:val="20"/>
          <w:lang w:val="en-GB" w:eastAsia="en-US"/>
        </w:rPr>
        <w:t>/COD</w:t>
      </w:r>
      <w:r w:rsidR="00881CF2" w:rsidRPr="00881CF2">
        <w:rPr>
          <w:rFonts w:asciiTheme="minorHAnsi" w:hAnsiTheme="minorHAnsi"/>
          <w:sz w:val="20"/>
          <w:szCs w:val="20"/>
          <w:vertAlign w:val="subscript"/>
          <w:lang w:val="en-GB" w:eastAsia="en-US"/>
        </w:rPr>
        <w:t>Cr</w:t>
      </w:r>
      <w:r w:rsidRPr="00DA27B2">
        <w:rPr>
          <w:rFonts w:asciiTheme="minorHAnsi" w:hAnsiTheme="minorHAnsi"/>
          <w:sz w:val="20"/>
          <w:szCs w:val="20"/>
          <w:lang w:val="en-GB" w:eastAsia="en-US"/>
        </w:rPr>
        <w:t xml:space="preserve"> ratio remained stable at value 0</w:t>
      </w:r>
      <w:r w:rsidR="00881CF2">
        <w:rPr>
          <w:rFonts w:asciiTheme="minorHAnsi" w:hAnsiTheme="minorHAnsi"/>
          <w:sz w:val="20"/>
          <w:szCs w:val="20"/>
          <w:lang w:val="en-GB" w:eastAsia="en-US"/>
        </w:rPr>
        <w:t>.</w:t>
      </w:r>
      <w:r w:rsidRPr="00DA27B2">
        <w:rPr>
          <w:rFonts w:asciiTheme="minorHAnsi" w:hAnsiTheme="minorHAnsi"/>
          <w:sz w:val="20"/>
          <w:szCs w:val="20"/>
          <w:lang w:val="en-GB" w:eastAsia="en-US"/>
        </w:rPr>
        <w:t xml:space="preserve">35. This topic can be considered as an interesting introduction to the study of pharmaceutical residues in real water samples. Next experiments will be dealt with trace analysis of drug residues in real water samples and coupling heterogeneous photocatalysis with drug removal in surface water. </w:t>
      </w:r>
    </w:p>
    <w:p w:rsidR="00DA27B2" w:rsidRDefault="00DA27B2" w:rsidP="00DA27B2">
      <w:pPr>
        <w:pStyle w:val="Normlnweb"/>
        <w:spacing w:before="0" w:beforeAutospacing="0" w:after="0" w:afterAutospacing="0" w:line="276" w:lineRule="auto"/>
        <w:rPr>
          <w:rFonts w:asciiTheme="minorHAnsi" w:hAnsiTheme="minorHAnsi"/>
        </w:rPr>
      </w:pPr>
    </w:p>
    <w:p w:rsidR="00AF3CA2" w:rsidRPr="00DA27B2" w:rsidRDefault="00AF3CA2" w:rsidP="00DA27B2">
      <w:pPr>
        <w:pStyle w:val="Nadpis2"/>
        <w:rPr>
          <w:rFonts w:asciiTheme="minorHAnsi" w:hAnsiTheme="minorHAnsi"/>
          <w:sz w:val="24"/>
          <w:szCs w:val="24"/>
        </w:rPr>
      </w:pPr>
      <w:r w:rsidRPr="004E050A">
        <w:rPr>
          <w:rFonts w:asciiTheme="minorHAnsi" w:hAnsiTheme="minorHAnsi"/>
          <w:sz w:val="24"/>
          <w:szCs w:val="24"/>
        </w:rPr>
        <w:t>Acknowledgement</w:t>
      </w:r>
    </w:p>
    <w:p w:rsidR="00AF3CA2" w:rsidRPr="004E050A" w:rsidRDefault="00AF3CA2" w:rsidP="00AF3CA2">
      <w:pPr>
        <w:widowControl w:val="0"/>
        <w:overflowPunct w:val="0"/>
        <w:autoSpaceDE w:val="0"/>
        <w:autoSpaceDN w:val="0"/>
        <w:adjustRightInd w:val="0"/>
        <w:jc w:val="both"/>
        <w:textAlignment w:val="baseline"/>
        <w:rPr>
          <w:rFonts w:asciiTheme="minorHAnsi" w:hAnsiTheme="minorHAnsi"/>
          <w:i/>
          <w:sz w:val="20"/>
          <w:szCs w:val="20"/>
          <w:lang w:val="en-GB"/>
        </w:rPr>
      </w:pPr>
      <w:r w:rsidRPr="004E050A">
        <w:rPr>
          <w:rFonts w:asciiTheme="minorHAnsi" w:hAnsiTheme="minorHAnsi"/>
          <w:i/>
          <w:sz w:val="20"/>
          <w:szCs w:val="20"/>
          <w:lang w:val="en-GB"/>
        </w:rPr>
        <w:t xml:space="preserve">This work was supported by Ministry of Education, Youth and Sports </w:t>
      </w:r>
      <w:r w:rsidR="00172890" w:rsidRPr="00172890">
        <w:rPr>
          <w:rFonts w:asciiTheme="minorHAnsi" w:hAnsiTheme="minorHAnsi"/>
          <w:i/>
          <w:sz w:val="20"/>
          <w:szCs w:val="20"/>
        </w:rPr>
        <w:t>(SGFCHT _2016006).</w:t>
      </w:r>
    </w:p>
    <w:p w:rsidR="00AF3CA2" w:rsidRPr="004E050A" w:rsidRDefault="00AF3CA2" w:rsidP="00AF3CA2">
      <w:pPr>
        <w:jc w:val="both"/>
        <w:rPr>
          <w:rFonts w:asciiTheme="minorHAnsi" w:hAnsiTheme="minorHAnsi"/>
          <w:sz w:val="20"/>
          <w:szCs w:val="20"/>
          <w:lang w:val="en-GB"/>
        </w:rPr>
      </w:pPr>
    </w:p>
    <w:p w:rsidR="00AF3CA2" w:rsidRPr="004E050A" w:rsidRDefault="00AF3CA2" w:rsidP="00AF3CA2">
      <w:pPr>
        <w:pStyle w:val="Nadpis2"/>
        <w:rPr>
          <w:rFonts w:asciiTheme="minorHAnsi" w:hAnsiTheme="minorHAnsi"/>
          <w:sz w:val="24"/>
          <w:szCs w:val="24"/>
        </w:rPr>
      </w:pPr>
      <w:r w:rsidRPr="004E050A">
        <w:rPr>
          <w:rFonts w:asciiTheme="minorHAnsi" w:hAnsiTheme="minorHAnsi"/>
          <w:sz w:val="24"/>
          <w:szCs w:val="24"/>
        </w:rPr>
        <w:t xml:space="preserve">References </w:t>
      </w:r>
    </w:p>
    <w:p w:rsidR="00C62275" w:rsidRDefault="00C62275" w:rsidP="00B67BA3">
      <w:pPr>
        <w:jc w:val="both"/>
        <w:rPr>
          <w:rFonts w:asciiTheme="minorHAnsi" w:hAnsiTheme="minorHAnsi"/>
          <w:sz w:val="20"/>
          <w:szCs w:val="20"/>
          <w:lang w:val="en-GB"/>
        </w:rPr>
      </w:pPr>
    </w:p>
    <w:p w:rsidR="00C62275" w:rsidRPr="00B67BA3" w:rsidRDefault="00C62275"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ČAPKA, L., P. LACINA a M. VÁVROVÁ. Chem. Listy, 106, 30 (2012)</w:t>
      </w:r>
      <w:r w:rsidR="00D3558F" w:rsidRPr="00B67BA3">
        <w:rPr>
          <w:rFonts w:asciiTheme="minorHAnsi" w:hAnsiTheme="minorHAnsi"/>
          <w:sz w:val="20"/>
          <w:szCs w:val="20"/>
          <w:lang w:val="en-GB"/>
        </w:rPr>
        <w:t>.</w:t>
      </w:r>
    </w:p>
    <w:p w:rsidR="00C62275" w:rsidRPr="00B67BA3" w:rsidRDefault="00C62275"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ISIDORI M., LAVORGNA M., NARDELLI A.,</w:t>
      </w:r>
      <w:r w:rsidR="00D3558F" w:rsidRPr="00B67BA3">
        <w:rPr>
          <w:rFonts w:asciiTheme="minorHAnsi" w:hAnsiTheme="minorHAnsi"/>
          <w:sz w:val="20"/>
          <w:szCs w:val="20"/>
          <w:lang w:val="en-GB"/>
        </w:rPr>
        <w:t xml:space="preserve"> PARELLA A., PREVITERA L., RUBINO M., Sci. Total Environ., 348, 93 (2005).</w:t>
      </w:r>
    </w:p>
    <w:p w:rsidR="00D3558F" w:rsidRPr="00B67BA3" w:rsidRDefault="00D3558F"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SCHMITT-JANSEN M., BARTELS P., ADLER N., ALTENBURGER R., Anal. Bioanal. Chem., 387, 1389 (2007).</w:t>
      </w:r>
    </w:p>
    <w:p w:rsidR="00D3558F" w:rsidRDefault="00D3558F"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KUMMEROVÁ M., ZEZULKA Š., BABULA P., TŘÍSKA J., J. Hazard. Mater., 302, 351 (2016).</w:t>
      </w:r>
    </w:p>
    <w:p w:rsidR="002A535B" w:rsidRPr="00B67BA3" w:rsidRDefault="002A535B" w:rsidP="00B67BA3">
      <w:pPr>
        <w:pStyle w:val="Odstavecseseznamem"/>
        <w:numPr>
          <w:ilvl w:val="0"/>
          <w:numId w:val="3"/>
        </w:numPr>
        <w:jc w:val="both"/>
        <w:rPr>
          <w:rFonts w:asciiTheme="minorHAnsi" w:hAnsiTheme="minorHAnsi"/>
          <w:sz w:val="20"/>
          <w:szCs w:val="20"/>
          <w:lang w:val="en-GB"/>
        </w:rPr>
      </w:pPr>
      <w:r>
        <w:rPr>
          <w:rFonts w:asciiTheme="minorHAnsi" w:hAnsiTheme="minorHAnsi"/>
          <w:sz w:val="20"/>
          <w:szCs w:val="20"/>
          <w:lang w:val="en-GB"/>
        </w:rPr>
        <w:t xml:space="preserve">BROZINSKI J. M., LAHTI M., MEIERJOHANN A., OIKARI A., KRONBERG L., Environ. Sci. Technol., </w:t>
      </w:r>
      <w:r w:rsidRPr="002A535B">
        <w:rPr>
          <w:rFonts w:asciiTheme="minorHAnsi" w:hAnsiTheme="minorHAnsi"/>
          <w:i/>
          <w:sz w:val="20"/>
          <w:szCs w:val="20"/>
          <w:lang w:val="en-GB"/>
        </w:rPr>
        <w:t>47</w:t>
      </w:r>
      <w:r>
        <w:rPr>
          <w:rFonts w:asciiTheme="minorHAnsi" w:hAnsiTheme="minorHAnsi"/>
          <w:sz w:val="20"/>
          <w:szCs w:val="20"/>
          <w:lang w:val="en-GB"/>
        </w:rPr>
        <w:t>, 342 (2012)</w:t>
      </w:r>
    </w:p>
    <w:p w:rsidR="00B67BA3" w:rsidRPr="00B67BA3" w:rsidRDefault="00B67BA3"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FEKETE-KERTESZ I., KUNGLNE-NAGY Z., GRUIZ K., MAGYAR A., FARKAS E., MOLNAR M., Period. Polytech. Chem. Eng., 59, 262 (2015).</w:t>
      </w:r>
    </w:p>
    <w:p w:rsidR="00D3558F" w:rsidRPr="00B67BA3" w:rsidRDefault="00D3558F"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MENDÉZ-ARRIAGA F., ESPLUGAS S., GIMÉNEZ J., Water Res., 42, 585 (2008).</w:t>
      </w:r>
    </w:p>
    <w:p w:rsidR="00D3558F" w:rsidRPr="00B67BA3" w:rsidRDefault="00D3558F"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ZIELINSKA B., GRZECHULSKA J., KALENCZUK R., MORAWSKI A.,</w:t>
      </w:r>
      <w:r w:rsidR="00B67BA3" w:rsidRPr="00B67BA3">
        <w:rPr>
          <w:rFonts w:asciiTheme="minorHAnsi" w:hAnsiTheme="minorHAnsi"/>
          <w:sz w:val="20"/>
          <w:szCs w:val="20"/>
          <w:lang w:val="en-GB"/>
        </w:rPr>
        <w:t xml:space="preserve"> Appl. Catal. B, 45, 293 (2003).</w:t>
      </w:r>
    </w:p>
    <w:p w:rsidR="00B67BA3" w:rsidRPr="00B67BA3" w:rsidRDefault="00B67BA3" w:rsidP="00B67BA3">
      <w:pPr>
        <w:pStyle w:val="Odstavecseseznamem"/>
        <w:numPr>
          <w:ilvl w:val="0"/>
          <w:numId w:val="3"/>
        </w:numPr>
        <w:jc w:val="both"/>
        <w:rPr>
          <w:rFonts w:asciiTheme="minorHAnsi" w:hAnsiTheme="minorHAnsi"/>
          <w:sz w:val="20"/>
          <w:szCs w:val="20"/>
          <w:lang w:val="en-GB"/>
        </w:rPr>
      </w:pPr>
      <w:r w:rsidRPr="00B67BA3">
        <w:rPr>
          <w:rFonts w:asciiTheme="minorHAnsi" w:hAnsiTheme="minorHAnsi"/>
          <w:sz w:val="20"/>
          <w:szCs w:val="20"/>
          <w:lang w:val="en-GB"/>
        </w:rPr>
        <w:t>RIZZO L., MERIC S., GUIDA M., KASSINOS D., BELGIORNO V., Water Res., 43, 4070 (2009).</w:t>
      </w:r>
    </w:p>
    <w:p w:rsidR="00B67BA3" w:rsidRPr="00B67BA3" w:rsidRDefault="00B67BA3" w:rsidP="00B67BA3">
      <w:pPr>
        <w:ind w:left="360" w:hanging="360"/>
        <w:jc w:val="both"/>
        <w:rPr>
          <w:rFonts w:asciiTheme="minorHAnsi" w:hAnsiTheme="minorHAnsi"/>
          <w:i/>
          <w:sz w:val="20"/>
          <w:szCs w:val="20"/>
          <w:lang w:val="en-GB"/>
        </w:rPr>
      </w:pPr>
    </w:p>
    <w:p w:rsidR="00B67BA3" w:rsidRPr="004E050A" w:rsidRDefault="00B67BA3" w:rsidP="00C34026">
      <w:pPr>
        <w:ind w:left="360" w:hanging="360"/>
        <w:jc w:val="both"/>
        <w:rPr>
          <w:rFonts w:asciiTheme="minorHAnsi" w:hAnsiTheme="minorHAnsi"/>
          <w:sz w:val="20"/>
          <w:szCs w:val="20"/>
          <w:lang w:val="en-GB"/>
        </w:rPr>
      </w:pPr>
    </w:p>
    <w:sectPr w:rsidR="00B67BA3" w:rsidRPr="004E050A" w:rsidSect="00F3116F">
      <w:headerReference w:type="default" r:id="rId12"/>
      <w:pgSz w:w="11906" w:h="16838" w:code="9"/>
      <w:pgMar w:top="1417" w:right="1417" w:bottom="1417" w:left="1417" w:header="709" w:footer="2260" w:gutter="0"/>
      <w:cols w:space="454"/>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12C5" w:rsidRDefault="005912C5">
      <w:r>
        <w:separator/>
      </w:r>
    </w:p>
  </w:endnote>
  <w:endnote w:type="continuationSeparator" w:id="1">
    <w:p w:rsidR="005912C5" w:rsidRDefault="005912C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12C5" w:rsidRDefault="005912C5">
      <w:r>
        <w:separator/>
      </w:r>
    </w:p>
  </w:footnote>
  <w:footnote w:type="continuationSeparator" w:id="1">
    <w:p w:rsidR="005912C5" w:rsidRDefault="005912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1A54" w:rsidRPr="00E92C23" w:rsidRDefault="00383013">
    <w:pPr>
      <w:pStyle w:val="Zhlav"/>
      <w:tabs>
        <w:tab w:val="clear" w:pos="9072"/>
        <w:tab w:val="right" w:pos="9720"/>
      </w:tabs>
      <w:rPr>
        <w:rFonts w:asciiTheme="minorHAnsi" w:hAnsiTheme="minorHAnsi"/>
        <w:sz w:val="20"/>
        <w:szCs w:val="20"/>
      </w:rPr>
    </w:pPr>
    <w:r w:rsidRPr="00383013">
      <w:rPr>
        <w:rFonts w:asciiTheme="minorHAnsi" w:hAnsiTheme="minorHAnsi"/>
        <w:sz w:val="20"/>
        <w:szCs w:val="20"/>
        <w:lang w:val="cs-CZ"/>
      </w:rPr>
      <w:t>P</w:t>
    </w:r>
    <w:r w:rsidR="004E050A">
      <w:rPr>
        <w:rFonts w:asciiTheme="minorHAnsi" w:hAnsiTheme="minorHAnsi"/>
        <w:sz w:val="20"/>
        <w:szCs w:val="20"/>
        <w:lang w:val="cs-CZ"/>
      </w:rPr>
      <w:t>roceedings</w:t>
    </w:r>
    <w:r w:rsidR="00DA27B2">
      <w:rPr>
        <w:rFonts w:asciiTheme="minorHAnsi" w:hAnsiTheme="minorHAnsi"/>
        <w:sz w:val="20"/>
        <w:szCs w:val="20"/>
        <w:lang w:val="cs-CZ"/>
      </w:rPr>
      <w:t xml:space="preserve"> </w:t>
    </w:r>
    <w:r w:rsidR="004E050A">
      <w:rPr>
        <w:rFonts w:asciiTheme="minorHAnsi" w:hAnsiTheme="minorHAnsi"/>
        <w:sz w:val="20"/>
        <w:szCs w:val="20"/>
        <w:lang w:val="cs-CZ"/>
      </w:rPr>
      <w:t>of</w:t>
    </w:r>
    <w:r w:rsidR="00DA27B2">
      <w:rPr>
        <w:rFonts w:asciiTheme="minorHAnsi" w:hAnsiTheme="minorHAnsi"/>
        <w:sz w:val="20"/>
        <w:szCs w:val="20"/>
        <w:lang w:val="cs-CZ"/>
      </w:rPr>
      <w:t xml:space="preserve"> </w:t>
    </w:r>
    <w:r w:rsidR="004E050A">
      <w:rPr>
        <w:rFonts w:asciiTheme="minorHAnsi" w:hAnsiTheme="minorHAnsi"/>
        <w:sz w:val="20"/>
        <w:szCs w:val="20"/>
        <w:lang w:val="cs-CZ"/>
      </w:rPr>
      <w:t>the 4th I</w:t>
    </w:r>
    <w:r w:rsidRPr="00383013">
      <w:rPr>
        <w:rFonts w:asciiTheme="minorHAnsi" w:hAnsiTheme="minorHAnsi"/>
        <w:sz w:val="20"/>
        <w:szCs w:val="20"/>
        <w:lang w:val="cs-CZ"/>
      </w:rPr>
      <w:t xml:space="preserve">nternational </w:t>
    </w:r>
    <w:r w:rsidR="004E050A">
      <w:rPr>
        <w:rFonts w:asciiTheme="minorHAnsi" w:hAnsiTheme="minorHAnsi"/>
        <w:sz w:val="20"/>
        <w:szCs w:val="20"/>
        <w:lang w:val="cs-CZ"/>
      </w:rPr>
      <w:t>C</w:t>
    </w:r>
    <w:r w:rsidRPr="00383013">
      <w:rPr>
        <w:rFonts w:asciiTheme="minorHAnsi" w:hAnsiTheme="minorHAnsi"/>
        <w:sz w:val="20"/>
        <w:szCs w:val="20"/>
        <w:lang w:val="cs-CZ"/>
      </w:rPr>
      <w:t xml:space="preserve">onference on </w:t>
    </w:r>
    <w:r w:rsidR="004E050A">
      <w:rPr>
        <w:rFonts w:asciiTheme="minorHAnsi" w:hAnsiTheme="minorHAnsi"/>
        <w:sz w:val="20"/>
        <w:szCs w:val="20"/>
        <w:lang w:val="cs-CZ"/>
      </w:rPr>
      <w:t>C</w:t>
    </w:r>
    <w:r w:rsidRPr="00383013">
      <w:rPr>
        <w:rFonts w:asciiTheme="minorHAnsi" w:hAnsiTheme="minorHAnsi"/>
        <w:sz w:val="20"/>
        <w:szCs w:val="20"/>
        <w:lang w:val="cs-CZ"/>
      </w:rPr>
      <w:t>hemical</w:t>
    </w:r>
    <w:r w:rsidR="00DA27B2">
      <w:rPr>
        <w:rFonts w:asciiTheme="minorHAnsi" w:hAnsiTheme="minorHAnsi"/>
        <w:sz w:val="20"/>
        <w:szCs w:val="20"/>
        <w:lang w:val="cs-CZ"/>
      </w:rPr>
      <w:t xml:space="preserve"> </w:t>
    </w:r>
    <w:r w:rsidR="004E050A">
      <w:rPr>
        <w:rFonts w:asciiTheme="minorHAnsi" w:hAnsiTheme="minorHAnsi"/>
        <w:sz w:val="20"/>
        <w:szCs w:val="20"/>
        <w:lang w:val="cs-CZ"/>
      </w:rPr>
      <w:t>T</w:t>
    </w:r>
    <w:r w:rsidRPr="00383013">
      <w:rPr>
        <w:rFonts w:asciiTheme="minorHAnsi" w:hAnsiTheme="minorHAnsi"/>
        <w:sz w:val="20"/>
        <w:szCs w:val="20"/>
        <w:lang w:val="cs-CZ"/>
      </w:rPr>
      <w:t>echnology</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1">
    <w:nsid w:val="44761B55"/>
    <w:multiLevelType w:val="hybridMultilevel"/>
    <w:tmpl w:val="92BA7B42"/>
    <w:lvl w:ilvl="0" w:tplc="0405000F">
      <w:start w:val="1"/>
      <w:numFmt w:val="decimal"/>
      <w:lvlText w:val="%1."/>
      <w:lvlJc w:val="left"/>
      <w:pPr>
        <w:ind w:left="36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5324"/>
  <w:defaultTabStop w:val="708"/>
  <w:hyphenationZone w:val="425"/>
  <w:characterSpacingControl w:val="doNotCompress"/>
  <w:hdrShapeDefaults>
    <o:shapedefaults v:ext="edit" spidmax="11266"/>
  </w:hdrShapeDefaults>
  <w:footnotePr>
    <w:footnote w:id="0"/>
    <w:footnote w:id="1"/>
  </w:footnotePr>
  <w:endnotePr>
    <w:endnote w:id="0"/>
    <w:endnote w:id="1"/>
  </w:endnotePr>
  <w:compat/>
  <w:rsids>
    <w:rsidRoot w:val="00AA58F3"/>
    <w:rsid w:val="0006102A"/>
    <w:rsid w:val="000759F6"/>
    <w:rsid w:val="00086904"/>
    <w:rsid w:val="00095B73"/>
    <w:rsid w:val="000A1154"/>
    <w:rsid w:val="000B2A07"/>
    <w:rsid w:val="000C0152"/>
    <w:rsid w:val="000D5D11"/>
    <w:rsid w:val="000D6392"/>
    <w:rsid w:val="00106B42"/>
    <w:rsid w:val="00106E8F"/>
    <w:rsid w:val="00172890"/>
    <w:rsid w:val="00190395"/>
    <w:rsid w:val="001B6186"/>
    <w:rsid w:val="001D5B70"/>
    <w:rsid w:val="001F64F9"/>
    <w:rsid w:val="00204338"/>
    <w:rsid w:val="0025327D"/>
    <w:rsid w:val="00267BB1"/>
    <w:rsid w:val="002775E4"/>
    <w:rsid w:val="002A535B"/>
    <w:rsid w:val="002C339D"/>
    <w:rsid w:val="002D2F5C"/>
    <w:rsid w:val="00306FAC"/>
    <w:rsid w:val="00332D9A"/>
    <w:rsid w:val="00362B24"/>
    <w:rsid w:val="00383013"/>
    <w:rsid w:val="003C45EA"/>
    <w:rsid w:val="003E2CDF"/>
    <w:rsid w:val="003F169B"/>
    <w:rsid w:val="003F4A9C"/>
    <w:rsid w:val="00433FE0"/>
    <w:rsid w:val="00444D4C"/>
    <w:rsid w:val="00444DFC"/>
    <w:rsid w:val="004502DA"/>
    <w:rsid w:val="00472DA4"/>
    <w:rsid w:val="004834EE"/>
    <w:rsid w:val="00490351"/>
    <w:rsid w:val="004925CD"/>
    <w:rsid w:val="004E050A"/>
    <w:rsid w:val="005005E6"/>
    <w:rsid w:val="00510397"/>
    <w:rsid w:val="00512EC9"/>
    <w:rsid w:val="00582C1A"/>
    <w:rsid w:val="005912C5"/>
    <w:rsid w:val="005A4E96"/>
    <w:rsid w:val="005D592C"/>
    <w:rsid w:val="005D69CE"/>
    <w:rsid w:val="00600AF3"/>
    <w:rsid w:val="006030A7"/>
    <w:rsid w:val="00612C85"/>
    <w:rsid w:val="00613EAA"/>
    <w:rsid w:val="006E6A26"/>
    <w:rsid w:val="00723D4E"/>
    <w:rsid w:val="00757144"/>
    <w:rsid w:val="00770C2D"/>
    <w:rsid w:val="007B0CB6"/>
    <w:rsid w:val="00806671"/>
    <w:rsid w:val="00826028"/>
    <w:rsid w:val="0083108A"/>
    <w:rsid w:val="00867785"/>
    <w:rsid w:val="008738AB"/>
    <w:rsid w:val="00881CF2"/>
    <w:rsid w:val="008B2810"/>
    <w:rsid w:val="008B56DF"/>
    <w:rsid w:val="008F1506"/>
    <w:rsid w:val="00943A6F"/>
    <w:rsid w:val="00947369"/>
    <w:rsid w:val="009601C2"/>
    <w:rsid w:val="00981D5D"/>
    <w:rsid w:val="009C69E9"/>
    <w:rsid w:val="009E4AE6"/>
    <w:rsid w:val="00A06248"/>
    <w:rsid w:val="00A11691"/>
    <w:rsid w:val="00A16D86"/>
    <w:rsid w:val="00A21A09"/>
    <w:rsid w:val="00A347C1"/>
    <w:rsid w:val="00A47931"/>
    <w:rsid w:val="00A83F70"/>
    <w:rsid w:val="00AA58F3"/>
    <w:rsid w:val="00AB2DAC"/>
    <w:rsid w:val="00AF3CA2"/>
    <w:rsid w:val="00B53B6A"/>
    <w:rsid w:val="00B67BA3"/>
    <w:rsid w:val="00B967CB"/>
    <w:rsid w:val="00BD013E"/>
    <w:rsid w:val="00C018F8"/>
    <w:rsid w:val="00C34026"/>
    <w:rsid w:val="00C62275"/>
    <w:rsid w:val="00CA37A1"/>
    <w:rsid w:val="00CC6D47"/>
    <w:rsid w:val="00D338C0"/>
    <w:rsid w:val="00D3558F"/>
    <w:rsid w:val="00D75DC5"/>
    <w:rsid w:val="00D91B8B"/>
    <w:rsid w:val="00DA27B2"/>
    <w:rsid w:val="00DB1BD9"/>
    <w:rsid w:val="00E77202"/>
    <w:rsid w:val="00E83F60"/>
    <w:rsid w:val="00E92C23"/>
    <w:rsid w:val="00EC098B"/>
    <w:rsid w:val="00EC4EAB"/>
    <w:rsid w:val="00EC6220"/>
    <w:rsid w:val="00EE28DE"/>
    <w:rsid w:val="00F15214"/>
    <w:rsid w:val="00F3116F"/>
    <w:rsid w:val="00F83483"/>
    <w:rsid w:val="00FD516D"/>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ormlnweb">
    <w:name w:val="Normal (Web)"/>
    <w:basedOn w:val="Normln"/>
    <w:uiPriority w:val="99"/>
    <w:unhideWhenUsed/>
    <w:rsid w:val="002C339D"/>
    <w:pPr>
      <w:spacing w:before="100" w:beforeAutospacing="1" w:after="100" w:afterAutospacing="1"/>
    </w:pPr>
    <w:rPr>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6315479">
      <w:bodyDiv w:val="1"/>
      <w:marLeft w:val="0"/>
      <w:marRight w:val="0"/>
      <w:marTop w:val="0"/>
      <w:marBottom w:val="0"/>
      <w:divBdr>
        <w:top w:val="none" w:sz="0" w:space="0" w:color="auto"/>
        <w:left w:val="none" w:sz="0" w:space="0" w:color="auto"/>
        <w:bottom w:val="none" w:sz="0" w:space="0" w:color="auto"/>
        <w:right w:val="none" w:sz="0" w:space="0" w:color="auto"/>
      </w:divBdr>
    </w:div>
    <w:div w:id="134565996">
      <w:bodyDiv w:val="1"/>
      <w:marLeft w:val="0"/>
      <w:marRight w:val="0"/>
      <w:marTop w:val="0"/>
      <w:marBottom w:val="0"/>
      <w:divBdr>
        <w:top w:val="none" w:sz="0" w:space="0" w:color="auto"/>
        <w:left w:val="none" w:sz="0" w:space="0" w:color="auto"/>
        <w:bottom w:val="none" w:sz="0" w:space="0" w:color="auto"/>
        <w:right w:val="none" w:sz="0" w:space="0" w:color="auto"/>
      </w:divBdr>
    </w:div>
    <w:div w:id="555551495">
      <w:bodyDiv w:val="1"/>
      <w:marLeft w:val="0"/>
      <w:marRight w:val="0"/>
      <w:marTop w:val="0"/>
      <w:marBottom w:val="0"/>
      <w:divBdr>
        <w:top w:val="none" w:sz="0" w:space="0" w:color="auto"/>
        <w:left w:val="none" w:sz="0" w:space="0" w:color="auto"/>
        <w:bottom w:val="none" w:sz="0" w:space="0" w:color="auto"/>
        <w:right w:val="none" w:sz="0" w:space="0" w:color="auto"/>
      </w:divBdr>
    </w:div>
    <w:div w:id="603539237">
      <w:bodyDiv w:val="1"/>
      <w:marLeft w:val="0"/>
      <w:marRight w:val="0"/>
      <w:marTop w:val="0"/>
      <w:marBottom w:val="0"/>
      <w:divBdr>
        <w:top w:val="none" w:sz="0" w:space="0" w:color="auto"/>
        <w:left w:val="none" w:sz="0" w:space="0" w:color="auto"/>
        <w:bottom w:val="none" w:sz="0" w:space="0" w:color="auto"/>
        <w:right w:val="none" w:sz="0" w:space="0" w:color="auto"/>
      </w:divBdr>
    </w:div>
    <w:div w:id="916934741">
      <w:bodyDiv w:val="1"/>
      <w:marLeft w:val="0"/>
      <w:marRight w:val="0"/>
      <w:marTop w:val="0"/>
      <w:marBottom w:val="0"/>
      <w:divBdr>
        <w:top w:val="none" w:sz="0" w:space="0" w:color="auto"/>
        <w:left w:val="none" w:sz="0" w:space="0" w:color="auto"/>
        <w:bottom w:val="none" w:sz="0" w:space="0" w:color="auto"/>
        <w:right w:val="none" w:sz="0" w:space="0" w:color="auto"/>
      </w:divBdr>
    </w:div>
    <w:div w:id="1209026370">
      <w:bodyDiv w:val="1"/>
      <w:marLeft w:val="0"/>
      <w:marRight w:val="0"/>
      <w:marTop w:val="0"/>
      <w:marBottom w:val="0"/>
      <w:divBdr>
        <w:top w:val="none" w:sz="0" w:space="0" w:color="auto"/>
        <w:left w:val="none" w:sz="0" w:space="0" w:color="auto"/>
        <w:bottom w:val="none" w:sz="0" w:space="0" w:color="auto"/>
        <w:right w:val="none" w:sz="0" w:space="0" w:color="auto"/>
      </w:divBdr>
    </w:div>
    <w:div w:id="1210266970">
      <w:bodyDiv w:val="1"/>
      <w:marLeft w:val="0"/>
      <w:marRight w:val="0"/>
      <w:marTop w:val="0"/>
      <w:marBottom w:val="0"/>
      <w:divBdr>
        <w:top w:val="none" w:sz="0" w:space="0" w:color="auto"/>
        <w:left w:val="none" w:sz="0" w:space="0" w:color="auto"/>
        <w:bottom w:val="none" w:sz="0" w:space="0" w:color="auto"/>
        <w:right w:val="none" w:sz="0" w:space="0" w:color="auto"/>
      </w:divBdr>
    </w:div>
    <w:div w:id="1621640585">
      <w:bodyDiv w:val="1"/>
      <w:marLeft w:val="0"/>
      <w:marRight w:val="0"/>
      <w:marTop w:val="0"/>
      <w:marBottom w:val="0"/>
      <w:divBdr>
        <w:top w:val="none" w:sz="0" w:space="0" w:color="auto"/>
        <w:left w:val="none" w:sz="0" w:space="0" w:color="auto"/>
        <w:bottom w:val="none" w:sz="0" w:space="0" w:color="auto"/>
        <w:right w:val="none" w:sz="0" w:space="0" w:color="auto"/>
      </w:divBdr>
    </w:div>
    <w:div w:id="1656648086">
      <w:bodyDiv w:val="1"/>
      <w:marLeft w:val="0"/>
      <w:marRight w:val="0"/>
      <w:marTop w:val="0"/>
      <w:marBottom w:val="0"/>
      <w:divBdr>
        <w:top w:val="none" w:sz="0" w:space="0" w:color="auto"/>
        <w:left w:val="none" w:sz="0" w:space="0" w:color="auto"/>
        <w:bottom w:val="none" w:sz="0" w:space="0" w:color="auto"/>
        <w:right w:val="none" w:sz="0" w:space="0" w:color="auto"/>
      </w:divBdr>
    </w:div>
    <w:div w:id="1880508076">
      <w:bodyDiv w:val="1"/>
      <w:marLeft w:val="0"/>
      <w:marRight w:val="0"/>
      <w:marTop w:val="0"/>
      <w:marBottom w:val="0"/>
      <w:divBdr>
        <w:top w:val="none" w:sz="0" w:space="0" w:color="auto"/>
        <w:left w:val="none" w:sz="0" w:space="0" w:color="auto"/>
        <w:bottom w:val="none" w:sz="0" w:space="0" w:color="auto"/>
        <w:right w:val="none" w:sz="0" w:space="0" w:color="auto"/>
      </w:divBdr>
    </w:div>
    <w:div w:id="200030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F:\SPE_TIO2_UV.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SPE_TIO2_UV.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SPE_TIO2_UV.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SPE_TIO2_UV.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9.3788854905533528E-2"/>
          <c:y val="2.7630352176127297E-2"/>
          <c:w val="0.84966757627518885"/>
          <c:h val="0.71064770635014018"/>
        </c:manualLayout>
      </c:layout>
      <c:scatterChart>
        <c:scatterStyle val="smoothMarker"/>
        <c:ser>
          <c:idx val="3"/>
          <c:order val="0"/>
          <c:tx>
            <c:v>UV</c:v>
          </c:tx>
          <c:spPr>
            <a:ln w="31750">
              <a:prstDash val="sysDot"/>
            </a:ln>
          </c:spPr>
          <c:marker>
            <c:symbol val="none"/>
          </c:marker>
          <c:xVal>
            <c:numRef>
              <c:f>List1!$B$143:$B$146</c:f>
              <c:numCache>
                <c:formatCode>General</c:formatCode>
                <c:ptCount val="4"/>
                <c:pt idx="0">
                  <c:v>0</c:v>
                </c:pt>
                <c:pt idx="1">
                  <c:v>20</c:v>
                </c:pt>
                <c:pt idx="2">
                  <c:v>40</c:v>
                </c:pt>
                <c:pt idx="3">
                  <c:v>60</c:v>
                </c:pt>
              </c:numCache>
            </c:numRef>
          </c:xVal>
          <c:yVal>
            <c:numRef>
              <c:f>List1!$F$136:$F$139</c:f>
              <c:numCache>
                <c:formatCode>General</c:formatCode>
                <c:ptCount val="4"/>
                <c:pt idx="0">
                  <c:v>1</c:v>
                </c:pt>
                <c:pt idx="1">
                  <c:v>0.95945446555202651</c:v>
                </c:pt>
                <c:pt idx="2">
                  <c:v>0.8720610854757197</c:v>
                </c:pt>
                <c:pt idx="3">
                  <c:v>0.82524320329198375</c:v>
                </c:pt>
              </c:numCache>
            </c:numRef>
          </c:yVal>
          <c:smooth val="1"/>
        </c:ser>
        <c:ser>
          <c:idx val="1"/>
          <c:order val="1"/>
          <c:tx>
            <c:v>TiO2/UV</c:v>
          </c:tx>
          <c:spPr>
            <a:ln w="31750">
              <a:solidFill>
                <a:schemeClr val="accent6">
                  <a:lumMod val="75000"/>
                </a:schemeClr>
              </a:solidFill>
              <a:prstDash val="lgDash"/>
            </a:ln>
          </c:spPr>
          <c:marker>
            <c:symbol val="none"/>
          </c:marker>
          <c:xVal>
            <c:numRef>
              <c:f>List1!$B$30:$B$33</c:f>
              <c:numCache>
                <c:formatCode>General</c:formatCode>
                <c:ptCount val="4"/>
                <c:pt idx="0">
                  <c:v>0</c:v>
                </c:pt>
                <c:pt idx="1">
                  <c:v>20</c:v>
                </c:pt>
                <c:pt idx="2">
                  <c:v>40</c:v>
                </c:pt>
                <c:pt idx="3">
                  <c:v>60</c:v>
                </c:pt>
              </c:numCache>
            </c:numRef>
          </c:xVal>
          <c:yVal>
            <c:numRef>
              <c:f>List1!$F$30:$F$33</c:f>
              <c:numCache>
                <c:formatCode>General</c:formatCode>
                <c:ptCount val="4"/>
                <c:pt idx="0">
                  <c:v>1</c:v>
                </c:pt>
                <c:pt idx="1">
                  <c:v>0.82080172597221956</c:v>
                </c:pt>
                <c:pt idx="2">
                  <c:v>0.11968736546769003</c:v>
                </c:pt>
                <c:pt idx="3">
                  <c:v>8.6595509899103883E-3</c:v>
                </c:pt>
              </c:numCache>
            </c:numRef>
          </c:yVal>
          <c:smooth val="1"/>
        </c:ser>
        <c:ser>
          <c:idx val="2"/>
          <c:order val="2"/>
          <c:tx>
            <c:v>TiO2/UV/H2O2</c:v>
          </c:tx>
          <c:spPr>
            <a:ln w="31750">
              <a:solidFill>
                <a:srgbClr val="99CC00"/>
              </a:solidFill>
            </a:ln>
          </c:spPr>
          <c:marker>
            <c:symbol val="none"/>
          </c:marker>
          <c:xVal>
            <c:numRef>
              <c:f>List1!$B$30:$B$33</c:f>
              <c:numCache>
                <c:formatCode>General</c:formatCode>
                <c:ptCount val="4"/>
                <c:pt idx="0">
                  <c:v>0</c:v>
                </c:pt>
                <c:pt idx="1">
                  <c:v>20</c:v>
                </c:pt>
                <c:pt idx="2">
                  <c:v>40</c:v>
                </c:pt>
                <c:pt idx="3">
                  <c:v>60</c:v>
                </c:pt>
              </c:numCache>
            </c:numRef>
          </c:xVal>
          <c:yVal>
            <c:numRef>
              <c:f>List1!$F$62:$F$65</c:f>
              <c:numCache>
                <c:formatCode>General</c:formatCode>
                <c:ptCount val="4"/>
                <c:pt idx="0">
                  <c:v>1</c:v>
                </c:pt>
                <c:pt idx="1">
                  <c:v>0.50543045276969889</c:v>
                </c:pt>
                <c:pt idx="2">
                  <c:v>7.0790259260325866E-2</c:v>
                </c:pt>
                <c:pt idx="3">
                  <c:v>2.1297069523233646E-2</c:v>
                </c:pt>
              </c:numCache>
            </c:numRef>
          </c:yVal>
          <c:smooth val="1"/>
        </c:ser>
        <c:axId val="74145152"/>
        <c:axId val="74147328"/>
      </c:scatterChart>
      <c:valAx>
        <c:axId val="74145152"/>
        <c:scaling>
          <c:orientation val="minMax"/>
          <c:max val="60"/>
        </c:scaling>
        <c:axPos val="b"/>
        <c:title>
          <c:tx>
            <c:rich>
              <a:bodyPr/>
              <a:lstStyle/>
              <a:p>
                <a:pPr>
                  <a:defRPr/>
                </a:pPr>
                <a:r>
                  <a:rPr lang="cs-CZ"/>
                  <a:t>t (min)</a:t>
                </a:r>
              </a:p>
            </c:rich>
          </c:tx>
          <c:layout>
            <c:manualLayout>
              <c:xMode val="edge"/>
              <c:yMode val="edge"/>
              <c:x val="0.48364851087828897"/>
              <c:y val="0.80373126493516667"/>
            </c:manualLayout>
          </c:layout>
        </c:title>
        <c:numFmt formatCode="General" sourceLinked="1"/>
        <c:tickLblPos val="nextTo"/>
        <c:crossAx val="74147328"/>
        <c:crosses val="autoZero"/>
        <c:crossBetween val="midCat"/>
      </c:valAx>
      <c:valAx>
        <c:axId val="74147328"/>
        <c:scaling>
          <c:orientation val="minMax"/>
          <c:max val="1"/>
          <c:min val="0"/>
        </c:scaling>
        <c:axPos val="l"/>
        <c:title>
          <c:tx>
            <c:rich>
              <a:bodyPr rot="-5400000" vert="horz"/>
              <a:lstStyle/>
              <a:p>
                <a:pPr>
                  <a:defRPr/>
                </a:pPr>
                <a:r>
                  <a:rPr lang="cs-CZ"/>
                  <a:t>c/co</a:t>
                </a:r>
              </a:p>
            </c:rich>
          </c:tx>
          <c:layout>
            <c:manualLayout>
              <c:xMode val="edge"/>
              <c:yMode val="edge"/>
              <c:x val="0"/>
              <c:y val="0.24233154761904763"/>
            </c:manualLayout>
          </c:layout>
        </c:title>
        <c:numFmt formatCode="General" sourceLinked="1"/>
        <c:tickLblPos val="nextTo"/>
        <c:crossAx val="74145152"/>
        <c:crosses val="autoZero"/>
        <c:crossBetween val="midCat"/>
        <c:majorUnit val="0.5"/>
      </c:valAx>
    </c:plotArea>
    <c:legend>
      <c:legendPos val="b"/>
      <c:layout>
        <c:manualLayout>
          <c:xMode val="edge"/>
          <c:yMode val="edge"/>
          <c:x val="1.1602004294917725E-2"/>
          <c:y val="0.89011979472715108"/>
          <c:w val="0.98657757040800309"/>
          <c:h val="6.7005454105470902E-2"/>
        </c:manualLayout>
      </c:layout>
    </c:legend>
    <c:plotVisOnly val="1"/>
    <c:dispBlanksAs val="gap"/>
  </c:chart>
  <c:txPr>
    <a:bodyPr/>
    <a:lstStyle/>
    <a:p>
      <a:pPr>
        <a:defRPr sz="1000"/>
      </a:pPr>
      <a:endParaRPr lang="cs-CZ"/>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5438297085111077"/>
          <c:y val="6.5360782633102785E-2"/>
          <c:w val="0.76270519837820605"/>
          <c:h val="0.66246441253666899"/>
        </c:manualLayout>
      </c:layout>
      <c:scatterChart>
        <c:scatterStyle val="smoothMarker"/>
        <c:ser>
          <c:idx val="4"/>
          <c:order val="0"/>
          <c:tx>
            <c:v>UV</c:v>
          </c:tx>
          <c:spPr>
            <a:ln w="31750">
              <a:solidFill>
                <a:srgbClr val="8064A2">
                  <a:shade val="95000"/>
                  <a:satMod val="105000"/>
                </a:srgbClr>
              </a:solidFill>
              <a:prstDash val="sysDot"/>
            </a:ln>
          </c:spPr>
          <c:marker>
            <c:symbol val="none"/>
          </c:marker>
          <c:xVal>
            <c:numRef>
              <c:f>List1!$B$115:$B$118</c:f>
              <c:numCache>
                <c:formatCode>General</c:formatCode>
                <c:ptCount val="4"/>
                <c:pt idx="0">
                  <c:v>0</c:v>
                </c:pt>
                <c:pt idx="1">
                  <c:v>20</c:v>
                </c:pt>
                <c:pt idx="2">
                  <c:v>40</c:v>
                </c:pt>
                <c:pt idx="3">
                  <c:v>60</c:v>
                </c:pt>
              </c:numCache>
            </c:numRef>
          </c:xVal>
          <c:yVal>
            <c:numRef>
              <c:f>List1!$F$115:$F$118</c:f>
              <c:numCache>
                <c:formatCode>General</c:formatCode>
                <c:ptCount val="4"/>
                <c:pt idx="0">
                  <c:v>1</c:v>
                </c:pt>
                <c:pt idx="1">
                  <c:v>0.9612432277323445</c:v>
                </c:pt>
                <c:pt idx="2">
                  <c:v>0.81063368974663108</c:v>
                </c:pt>
                <c:pt idx="3">
                  <c:v>0.75478104778262078</c:v>
                </c:pt>
              </c:numCache>
            </c:numRef>
          </c:yVal>
          <c:smooth val="1"/>
        </c:ser>
        <c:ser>
          <c:idx val="0"/>
          <c:order val="1"/>
          <c:tx>
            <c:v>TiO2/UV</c:v>
          </c:tx>
          <c:spPr>
            <a:ln w="31750">
              <a:solidFill>
                <a:schemeClr val="accent6">
                  <a:lumMod val="75000"/>
                </a:schemeClr>
              </a:solidFill>
              <a:prstDash val="lgDash"/>
            </a:ln>
          </c:spPr>
          <c:marker>
            <c:symbol val="none"/>
          </c:marker>
          <c:xVal>
            <c:numRef>
              <c:f>List1!$B$22:$B$25</c:f>
              <c:numCache>
                <c:formatCode>General</c:formatCode>
                <c:ptCount val="4"/>
                <c:pt idx="0">
                  <c:v>0</c:v>
                </c:pt>
                <c:pt idx="1">
                  <c:v>20</c:v>
                </c:pt>
                <c:pt idx="2">
                  <c:v>40</c:v>
                </c:pt>
                <c:pt idx="3">
                  <c:v>60</c:v>
                </c:pt>
              </c:numCache>
            </c:numRef>
          </c:xVal>
          <c:yVal>
            <c:numRef>
              <c:f>List1!$F$22:$F$25</c:f>
              <c:numCache>
                <c:formatCode>General</c:formatCode>
                <c:ptCount val="4"/>
                <c:pt idx="0">
                  <c:v>1</c:v>
                </c:pt>
                <c:pt idx="1">
                  <c:v>0.85203079849062335</c:v>
                </c:pt>
                <c:pt idx="2">
                  <c:v>0.29438396881381373</c:v>
                </c:pt>
                <c:pt idx="3">
                  <c:v>0.16049082995565567</c:v>
                </c:pt>
              </c:numCache>
            </c:numRef>
          </c:yVal>
          <c:smooth val="1"/>
        </c:ser>
        <c:ser>
          <c:idx val="1"/>
          <c:order val="2"/>
          <c:tx>
            <c:v>TiO2/UV/H2O2</c:v>
          </c:tx>
          <c:spPr>
            <a:ln w="31750">
              <a:solidFill>
                <a:srgbClr val="99CC00"/>
              </a:solidFill>
            </a:ln>
          </c:spPr>
          <c:marker>
            <c:symbol val="none"/>
          </c:marker>
          <c:xVal>
            <c:numRef>
              <c:f>List1!$B$30:$B$33</c:f>
              <c:numCache>
                <c:formatCode>General</c:formatCode>
                <c:ptCount val="4"/>
                <c:pt idx="0">
                  <c:v>0</c:v>
                </c:pt>
                <c:pt idx="1">
                  <c:v>20</c:v>
                </c:pt>
                <c:pt idx="2">
                  <c:v>40</c:v>
                </c:pt>
                <c:pt idx="3">
                  <c:v>60</c:v>
                </c:pt>
              </c:numCache>
            </c:numRef>
          </c:xVal>
          <c:yVal>
            <c:numRef>
              <c:f>List1!$F$79:$F$82</c:f>
              <c:numCache>
                <c:formatCode>General</c:formatCode>
                <c:ptCount val="4"/>
                <c:pt idx="0">
                  <c:v>1</c:v>
                </c:pt>
                <c:pt idx="1">
                  <c:v>0.19531974400149496</c:v>
                </c:pt>
                <c:pt idx="2">
                  <c:v>0.12386510838376499</c:v>
                </c:pt>
                <c:pt idx="3">
                  <c:v>0.1184406439649424</c:v>
                </c:pt>
              </c:numCache>
            </c:numRef>
          </c:yVal>
          <c:smooth val="1"/>
        </c:ser>
        <c:axId val="74164864"/>
        <c:axId val="74171136"/>
      </c:scatterChart>
      <c:valAx>
        <c:axId val="74164864"/>
        <c:scaling>
          <c:orientation val="minMax"/>
          <c:max val="60"/>
        </c:scaling>
        <c:axPos val="b"/>
        <c:title>
          <c:tx>
            <c:rich>
              <a:bodyPr/>
              <a:lstStyle/>
              <a:p>
                <a:pPr>
                  <a:defRPr/>
                </a:pPr>
                <a:r>
                  <a:rPr lang="cs-CZ"/>
                  <a:t>t (min)</a:t>
                </a:r>
              </a:p>
            </c:rich>
          </c:tx>
          <c:layout>
            <c:manualLayout>
              <c:xMode val="edge"/>
              <c:yMode val="edge"/>
              <c:x val="0.45843028432018684"/>
              <c:y val="0.8060112291921957"/>
            </c:manualLayout>
          </c:layout>
        </c:title>
        <c:numFmt formatCode="General" sourceLinked="1"/>
        <c:tickLblPos val="nextTo"/>
        <c:crossAx val="74171136"/>
        <c:crosses val="autoZero"/>
        <c:crossBetween val="midCat"/>
      </c:valAx>
      <c:valAx>
        <c:axId val="74171136"/>
        <c:scaling>
          <c:orientation val="minMax"/>
          <c:max val="1"/>
        </c:scaling>
        <c:axPos val="l"/>
        <c:title>
          <c:tx>
            <c:rich>
              <a:bodyPr rot="-5400000" vert="horz"/>
              <a:lstStyle/>
              <a:p>
                <a:pPr>
                  <a:defRPr/>
                </a:pPr>
                <a:r>
                  <a:rPr lang="cs-CZ"/>
                  <a:t>c/co</a:t>
                </a:r>
              </a:p>
            </c:rich>
          </c:tx>
          <c:layout>
            <c:manualLayout>
              <c:xMode val="edge"/>
              <c:yMode val="edge"/>
              <c:x val="1.4541838657832993E-2"/>
              <c:y val="0.34931862447025602"/>
            </c:manualLayout>
          </c:layout>
        </c:title>
        <c:numFmt formatCode="General" sourceLinked="1"/>
        <c:tickLblPos val="nextTo"/>
        <c:crossAx val="74164864"/>
        <c:crosses val="autoZero"/>
        <c:crossBetween val="midCat"/>
        <c:majorUnit val="0.5"/>
      </c:valAx>
    </c:plotArea>
    <c:legend>
      <c:legendPos val="b"/>
      <c:layout>
        <c:manualLayout>
          <c:xMode val="edge"/>
          <c:yMode val="edge"/>
          <c:x val="6.2346479817776176E-2"/>
          <c:y val="0.88205952891717621"/>
          <c:w val="0.90087927160741321"/>
          <c:h val="8.2138335649220295E-2"/>
        </c:manualLayout>
      </c:layout>
    </c:legend>
    <c:plotVisOnly val="1"/>
    <c:dispBlanksAs val="gap"/>
  </c:chart>
  <c:txPr>
    <a:bodyPr/>
    <a:lstStyle/>
    <a:p>
      <a:pPr>
        <a:defRPr sz="1000"/>
      </a:pPr>
      <a:endParaRPr lang="cs-CZ"/>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3436619033731911"/>
          <c:y val="4.3550676777689146E-2"/>
          <c:w val="0.82674545020715484"/>
          <c:h val="0.65700439927278664"/>
        </c:manualLayout>
      </c:layout>
      <c:scatterChart>
        <c:scatterStyle val="smoothMarker"/>
        <c:ser>
          <c:idx val="1"/>
          <c:order val="0"/>
          <c:tx>
            <c:v>TiO2/UV</c:v>
          </c:tx>
          <c:spPr>
            <a:ln w="31750">
              <a:solidFill>
                <a:schemeClr val="accent6">
                  <a:lumMod val="75000"/>
                </a:schemeClr>
              </a:solidFill>
              <a:prstDash val="lgDash"/>
            </a:ln>
          </c:spPr>
          <c:marker>
            <c:symbol val="none"/>
          </c:marker>
          <c:xVal>
            <c:numRef>
              <c:f>List1!$B$30:$B$33</c:f>
              <c:numCache>
                <c:formatCode>General</c:formatCode>
                <c:ptCount val="4"/>
                <c:pt idx="0">
                  <c:v>0</c:v>
                </c:pt>
                <c:pt idx="1">
                  <c:v>20</c:v>
                </c:pt>
                <c:pt idx="2">
                  <c:v>40</c:v>
                </c:pt>
                <c:pt idx="3">
                  <c:v>60</c:v>
                </c:pt>
              </c:numCache>
            </c:numRef>
          </c:xVal>
          <c:yVal>
            <c:numRef>
              <c:f>List1!$F$30:$F$33</c:f>
              <c:numCache>
                <c:formatCode>General</c:formatCode>
                <c:ptCount val="4"/>
                <c:pt idx="0">
                  <c:v>1</c:v>
                </c:pt>
                <c:pt idx="1">
                  <c:v>0.82080172597221956</c:v>
                </c:pt>
                <c:pt idx="2">
                  <c:v>0.11968736546769</c:v>
                </c:pt>
                <c:pt idx="3">
                  <c:v>8.6595509899103796E-3</c:v>
                </c:pt>
              </c:numCache>
            </c:numRef>
          </c:yVal>
          <c:smooth val="1"/>
        </c:ser>
        <c:ser>
          <c:idx val="0"/>
          <c:order val="1"/>
          <c:tx>
            <c:v>TiO2/UV/H+</c:v>
          </c:tx>
          <c:spPr>
            <a:ln w="31750">
              <a:solidFill>
                <a:srgbClr val="00B050"/>
              </a:solidFill>
            </a:ln>
          </c:spPr>
          <c:marker>
            <c:symbol val="none"/>
          </c:marker>
          <c:xVal>
            <c:numRef>
              <c:f>List1!$B$55:$B$58</c:f>
              <c:numCache>
                <c:formatCode>General</c:formatCode>
                <c:ptCount val="4"/>
                <c:pt idx="0">
                  <c:v>0</c:v>
                </c:pt>
                <c:pt idx="1">
                  <c:v>20</c:v>
                </c:pt>
                <c:pt idx="2">
                  <c:v>40</c:v>
                </c:pt>
                <c:pt idx="3">
                  <c:v>60</c:v>
                </c:pt>
              </c:numCache>
            </c:numRef>
          </c:xVal>
          <c:yVal>
            <c:numRef>
              <c:f>List1!$F$86:$F$89</c:f>
              <c:numCache>
                <c:formatCode>General</c:formatCode>
                <c:ptCount val="4"/>
                <c:pt idx="0">
                  <c:v>1</c:v>
                </c:pt>
                <c:pt idx="1">
                  <c:v>8.0214889850511423E-2</c:v>
                </c:pt>
                <c:pt idx="2">
                  <c:v>1.673387096774194E-2</c:v>
                </c:pt>
                <c:pt idx="3">
                  <c:v>0</c:v>
                </c:pt>
              </c:numCache>
            </c:numRef>
          </c:yVal>
          <c:smooth val="1"/>
        </c:ser>
        <c:ser>
          <c:idx val="4"/>
          <c:order val="2"/>
          <c:tx>
            <c:v>TiO2/UV/OH-</c:v>
          </c:tx>
          <c:spPr>
            <a:ln w="31750">
              <a:solidFill>
                <a:schemeClr val="accent3">
                  <a:lumMod val="50000"/>
                </a:schemeClr>
              </a:solidFill>
              <a:prstDash val="sysDot"/>
            </a:ln>
          </c:spPr>
          <c:marker>
            <c:symbol val="none"/>
          </c:marker>
          <c:xVal>
            <c:numRef>
              <c:f>List1!$B$107:$B$110</c:f>
              <c:numCache>
                <c:formatCode>General</c:formatCode>
                <c:ptCount val="4"/>
                <c:pt idx="0">
                  <c:v>0</c:v>
                </c:pt>
                <c:pt idx="1">
                  <c:v>20</c:v>
                </c:pt>
                <c:pt idx="2">
                  <c:v>40</c:v>
                </c:pt>
                <c:pt idx="3">
                  <c:v>60</c:v>
                </c:pt>
              </c:numCache>
            </c:numRef>
          </c:xVal>
          <c:yVal>
            <c:numRef>
              <c:f>List1!$F$107:$F$110</c:f>
              <c:numCache>
                <c:formatCode>General</c:formatCode>
                <c:ptCount val="4"/>
                <c:pt idx="0">
                  <c:v>1</c:v>
                </c:pt>
                <c:pt idx="1">
                  <c:v>0.87668493477004061</c:v>
                </c:pt>
                <c:pt idx="2">
                  <c:v>0.20255767078870462</c:v>
                </c:pt>
                <c:pt idx="3">
                  <c:v>9.2652562348145728E-2</c:v>
                </c:pt>
              </c:numCache>
            </c:numRef>
          </c:yVal>
          <c:smooth val="1"/>
        </c:ser>
        <c:axId val="72824704"/>
        <c:axId val="72830976"/>
      </c:scatterChart>
      <c:valAx>
        <c:axId val="72824704"/>
        <c:scaling>
          <c:orientation val="minMax"/>
          <c:max val="60"/>
        </c:scaling>
        <c:axPos val="b"/>
        <c:title>
          <c:tx>
            <c:rich>
              <a:bodyPr/>
              <a:lstStyle/>
              <a:p>
                <a:pPr>
                  <a:defRPr/>
                </a:pPr>
                <a:r>
                  <a:rPr lang="cs-CZ"/>
                  <a:t>t (min)</a:t>
                </a:r>
              </a:p>
            </c:rich>
          </c:tx>
          <c:layout>
            <c:manualLayout>
              <c:xMode val="edge"/>
              <c:yMode val="edge"/>
              <c:x val="0.51231079586125938"/>
              <c:y val="0.77651854689632849"/>
            </c:manualLayout>
          </c:layout>
        </c:title>
        <c:numFmt formatCode="General" sourceLinked="1"/>
        <c:tickLblPos val="nextTo"/>
        <c:crossAx val="72830976"/>
        <c:crosses val="autoZero"/>
        <c:crossBetween val="midCat"/>
      </c:valAx>
      <c:valAx>
        <c:axId val="72830976"/>
        <c:scaling>
          <c:orientation val="minMax"/>
          <c:max val="1"/>
          <c:min val="0"/>
        </c:scaling>
        <c:axPos val="l"/>
        <c:title>
          <c:tx>
            <c:rich>
              <a:bodyPr rot="-5400000" vert="horz"/>
              <a:lstStyle/>
              <a:p>
                <a:pPr>
                  <a:defRPr/>
                </a:pPr>
                <a:r>
                  <a:rPr lang="cs-CZ"/>
                  <a:t>c/co</a:t>
                </a:r>
              </a:p>
            </c:rich>
          </c:tx>
          <c:layout>
            <c:manualLayout>
              <c:xMode val="edge"/>
              <c:yMode val="edge"/>
              <c:x val="2.0882083333333329E-2"/>
              <c:y val="0.21209345238095256"/>
            </c:manualLayout>
          </c:layout>
        </c:title>
        <c:numFmt formatCode="General" sourceLinked="1"/>
        <c:tickLblPos val="nextTo"/>
        <c:crossAx val="72824704"/>
        <c:crosses val="autoZero"/>
        <c:crossBetween val="midCat"/>
        <c:majorUnit val="0.5"/>
      </c:valAx>
    </c:plotArea>
    <c:legend>
      <c:legendPos val="b"/>
      <c:layout>
        <c:manualLayout>
          <c:xMode val="edge"/>
          <c:yMode val="edge"/>
          <c:x val="5.0336111111111232E-3"/>
          <c:y val="0.82390621106230399"/>
          <c:w val="0.98657757040800309"/>
          <c:h val="8.4076121690462607E-2"/>
        </c:manualLayout>
      </c:layout>
    </c:legend>
    <c:plotVisOnly val="1"/>
    <c:dispBlanksAs val="gap"/>
  </c:chart>
  <c:txPr>
    <a:bodyPr/>
    <a:lstStyle/>
    <a:p>
      <a:pPr>
        <a:defRPr sz="1000"/>
      </a:pPr>
      <a:endParaRPr lang="cs-CZ"/>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chart>
    <c:plotArea>
      <c:layout>
        <c:manualLayout>
          <c:layoutTarget val="inner"/>
          <c:xMode val="edge"/>
          <c:yMode val="edge"/>
          <c:x val="0.13670856481481478"/>
          <c:y val="6.5360782633102812E-2"/>
          <c:w val="0.77959537037037119"/>
          <c:h val="0.64720302609232672"/>
        </c:manualLayout>
      </c:layout>
      <c:scatterChart>
        <c:scatterStyle val="smoothMarker"/>
        <c:ser>
          <c:idx val="0"/>
          <c:order val="0"/>
          <c:tx>
            <c:v>TiO2/UV</c:v>
          </c:tx>
          <c:spPr>
            <a:ln w="31750">
              <a:solidFill>
                <a:schemeClr val="accent6">
                  <a:lumMod val="75000"/>
                </a:schemeClr>
              </a:solidFill>
              <a:prstDash val="lgDash"/>
            </a:ln>
          </c:spPr>
          <c:marker>
            <c:symbol val="none"/>
          </c:marker>
          <c:xVal>
            <c:numRef>
              <c:f>List1!$B$22:$B$25</c:f>
              <c:numCache>
                <c:formatCode>General</c:formatCode>
                <c:ptCount val="4"/>
                <c:pt idx="0">
                  <c:v>0</c:v>
                </c:pt>
                <c:pt idx="1">
                  <c:v>20</c:v>
                </c:pt>
                <c:pt idx="2">
                  <c:v>40</c:v>
                </c:pt>
                <c:pt idx="3">
                  <c:v>60</c:v>
                </c:pt>
              </c:numCache>
            </c:numRef>
          </c:xVal>
          <c:yVal>
            <c:numRef>
              <c:f>List1!$F$22:$F$25</c:f>
              <c:numCache>
                <c:formatCode>General</c:formatCode>
                <c:ptCount val="4"/>
                <c:pt idx="0">
                  <c:v>1</c:v>
                </c:pt>
                <c:pt idx="1">
                  <c:v>0.85203079849062335</c:v>
                </c:pt>
                <c:pt idx="2">
                  <c:v>0.29438396881381412</c:v>
                </c:pt>
                <c:pt idx="3">
                  <c:v>0.16049082995565567</c:v>
                </c:pt>
              </c:numCache>
            </c:numRef>
          </c:yVal>
          <c:smooth val="1"/>
        </c:ser>
        <c:ser>
          <c:idx val="2"/>
          <c:order val="1"/>
          <c:tx>
            <c:v>TiO2/UV/H+</c:v>
          </c:tx>
          <c:spPr>
            <a:ln w="31750">
              <a:solidFill>
                <a:srgbClr val="00B050"/>
              </a:solidFill>
            </a:ln>
          </c:spPr>
          <c:marker>
            <c:symbol val="none"/>
          </c:marker>
          <c:xVal>
            <c:numRef>
              <c:f>List1!$B$70:$B$73</c:f>
              <c:numCache>
                <c:formatCode>General</c:formatCode>
                <c:ptCount val="4"/>
                <c:pt idx="0">
                  <c:v>0</c:v>
                </c:pt>
                <c:pt idx="1">
                  <c:v>20</c:v>
                </c:pt>
                <c:pt idx="2">
                  <c:v>40</c:v>
                </c:pt>
                <c:pt idx="3">
                  <c:v>60</c:v>
                </c:pt>
              </c:numCache>
            </c:numRef>
          </c:xVal>
          <c:yVal>
            <c:numRef>
              <c:f>List1!$F$93:$F$96</c:f>
              <c:numCache>
                <c:formatCode>General</c:formatCode>
                <c:ptCount val="4"/>
                <c:pt idx="0">
                  <c:v>1</c:v>
                </c:pt>
                <c:pt idx="1">
                  <c:v>0.14135850150183193</c:v>
                </c:pt>
                <c:pt idx="2">
                  <c:v>6.3018927331380453E-2</c:v>
                </c:pt>
                <c:pt idx="3">
                  <c:v>6.0771899128316514E-2</c:v>
                </c:pt>
              </c:numCache>
            </c:numRef>
          </c:yVal>
          <c:smooth val="1"/>
        </c:ser>
        <c:ser>
          <c:idx val="3"/>
          <c:order val="2"/>
          <c:tx>
            <c:v>TiO2/UV/OH-</c:v>
          </c:tx>
          <c:spPr>
            <a:ln w="31750">
              <a:solidFill>
                <a:schemeClr val="accent3">
                  <a:lumMod val="50000"/>
                </a:schemeClr>
              </a:solidFill>
              <a:prstDash val="sysDot"/>
            </a:ln>
          </c:spPr>
          <c:marker>
            <c:symbol val="none"/>
          </c:marker>
          <c:xVal>
            <c:numRef>
              <c:f>List1!$B$122:$B$125</c:f>
              <c:numCache>
                <c:formatCode>General</c:formatCode>
                <c:ptCount val="4"/>
                <c:pt idx="0">
                  <c:v>0</c:v>
                </c:pt>
                <c:pt idx="1">
                  <c:v>20</c:v>
                </c:pt>
                <c:pt idx="2">
                  <c:v>40</c:v>
                </c:pt>
                <c:pt idx="3">
                  <c:v>60</c:v>
                </c:pt>
              </c:numCache>
            </c:numRef>
          </c:xVal>
          <c:yVal>
            <c:numRef>
              <c:f>List1!$F$122:$F$125</c:f>
              <c:numCache>
                <c:formatCode>General</c:formatCode>
                <c:ptCount val="4"/>
                <c:pt idx="0">
                  <c:v>1</c:v>
                </c:pt>
                <c:pt idx="1">
                  <c:v>0.82017883846583772</c:v>
                </c:pt>
                <c:pt idx="2">
                  <c:v>0.34944294495186917</c:v>
                </c:pt>
                <c:pt idx="3">
                  <c:v>0.20822217689767841</c:v>
                </c:pt>
              </c:numCache>
            </c:numRef>
          </c:yVal>
          <c:smooth val="1"/>
        </c:ser>
        <c:axId val="72856704"/>
        <c:axId val="72858624"/>
      </c:scatterChart>
      <c:valAx>
        <c:axId val="72856704"/>
        <c:scaling>
          <c:orientation val="minMax"/>
          <c:max val="60"/>
        </c:scaling>
        <c:axPos val="b"/>
        <c:title>
          <c:tx>
            <c:rich>
              <a:bodyPr/>
              <a:lstStyle/>
              <a:p>
                <a:pPr>
                  <a:defRPr/>
                </a:pPr>
                <a:r>
                  <a:rPr lang="cs-CZ"/>
                  <a:t>t (min)</a:t>
                </a:r>
              </a:p>
            </c:rich>
          </c:tx>
          <c:layout>
            <c:manualLayout>
              <c:xMode val="edge"/>
              <c:yMode val="edge"/>
              <c:x val="0.45604375000000003"/>
              <c:y val="0.82782028716998679"/>
            </c:manualLayout>
          </c:layout>
        </c:title>
        <c:numFmt formatCode="General" sourceLinked="1"/>
        <c:tickLblPos val="nextTo"/>
        <c:crossAx val="72858624"/>
        <c:crosses val="autoZero"/>
        <c:crossBetween val="midCat"/>
      </c:valAx>
      <c:valAx>
        <c:axId val="72858624"/>
        <c:scaling>
          <c:orientation val="minMax"/>
          <c:max val="1"/>
        </c:scaling>
        <c:axPos val="l"/>
        <c:title>
          <c:tx>
            <c:rich>
              <a:bodyPr rot="-5400000" vert="horz"/>
              <a:lstStyle/>
              <a:p>
                <a:pPr>
                  <a:defRPr/>
                </a:pPr>
                <a:r>
                  <a:rPr lang="cs-CZ"/>
                  <a:t>c/co</a:t>
                </a:r>
              </a:p>
            </c:rich>
          </c:tx>
          <c:layout>
            <c:manualLayout>
              <c:xMode val="edge"/>
              <c:yMode val="edge"/>
              <c:x val="1.5835648148148144E-2"/>
              <c:y val="0.35358962482630846"/>
            </c:manualLayout>
          </c:layout>
        </c:title>
        <c:numFmt formatCode="General" sourceLinked="1"/>
        <c:tickLblPos val="nextTo"/>
        <c:crossAx val="72856704"/>
        <c:crosses val="autoZero"/>
        <c:crossBetween val="midCat"/>
        <c:majorUnit val="0.5"/>
      </c:valAx>
    </c:plotArea>
    <c:legend>
      <c:legendPos val="b"/>
      <c:layout>
        <c:manualLayout>
          <c:xMode val="edge"/>
          <c:yMode val="edge"/>
          <c:x val="5.6345833333333369E-3"/>
          <c:y val="0.86591323143430654"/>
          <c:w val="0.99436541666666667"/>
          <c:h val="0.10566774741392629"/>
        </c:manualLayout>
      </c:layout>
    </c:legend>
    <c:plotVisOnly val="1"/>
    <c:dispBlanksAs val="gap"/>
  </c:chart>
  <c:txPr>
    <a:bodyPr/>
    <a:lstStyle/>
    <a:p>
      <a:pPr>
        <a:defRPr sz="1000"/>
      </a:pPr>
      <a:endParaRPr lang="cs-CZ"/>
    </a:p>
  </c:txPr>
  <c:externalData r:id="rId1"/>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033047-8E5F-416C-B198-5D4DD5B98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1</Pages>
  <Words>1534</Words>
  <Characters>9056</Characters>
  <Application>Microsoft Office Word</Application>
  <DocSecurity>0</DocSecurity>
  <Lines>75</Lines>
  <Paragraphs>21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10569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Ponrava Běloskvosná</cp:lastModifiedBy>
  <cp:revision>32</cp:revision>
  <dcterms:created xsi:type="dcterms:W3CDTF">2016-02-26T09:00:00Z</dcterms:created>
  <dcterms:modified xsi:type="dcterms:W3CDTF">2016-04-30T08:55:00Z</dcterms:modified>
</cp:coreProperties>
</file>