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purl.oclc.org/ooxml/officeDocument/relationships/extendedProperties" Target="docProps/app.xml"/><Relationship Id="rId2" Type="http://schemas.openxmlformats.org/package/2006/relationships/metadata/core-properties" Target="docProps/core.xml"/><Relationship Id="rId1" Type="http://purl.oclc.org/ooxml/officeDocument/relationships/officeDocument" Target="word/document.xml"/></Relationships>
</file>

<file path=word/document.xml><?xml version="1.0" encoding="utf-8"?>
<w:document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conformance="strict">
  <w:body>
    <w:p w:rsidR="001445EF" w:rsidRDefault="001445EF" w:rsidP="00834CE7">
      <w:pPr>
        <w:pStyle w:val="Standard"/>
        <w:spacing w:after="12pt" w:line="18pt" w:lineRule="auto"/>
        <w:ind w:start="9pt"/>
        <w:jc w:val="both"/>
        <w:rPr>
          <w:sz w:val="28"/>
          <w:szCs w:val="28"/>
          <w:lang w:val="en-US"/>
        </w:rPr>
      </w:pPr>
    </w:p>
    <w:p w:rsidR="001445EF" w:rsidRPr="00A1212A" w:rsidRDefault="001445EF" w:rsidP="001445EF">
      <w:pPr>
        <w:rPr>
          <w:rFonts w:ascii="Times New Roman" w:hAnsi="Times New Roman" w:cs="Times New Roman"/>
        </w:rPr>
      </w:pPr>
      <w:r w:rsidRPr="00A1212A">
        <w:rPr>
          <w:rFonts w:ascii="Times New Roman" w:hAnsi="Times New Roman" w:cs="Times New Roman"/>
        </w:rPr>
        <w:t xml:space="preserve"> </w:t>
      </w:r>
      <w:r w:rsidRPr="001445EF">
        <w:rPr>
          <w:rFonts w:ascii="Times New Roman" w:hAnsi="Times New Roman" w:cs="Times New Roman"/>
        </w:rPr>
        <w:drawing>
          <wp:inline distT="0" distB="0" distL="0" distR="0" wp14:anchorId="6899417A" wp14:editId="2387D8AD">
            <wp:extent cx="2133898" cy="1114581"/>
            <wp:effectExtent l="0" t="0" r="0" b="9525"/>
            <wp:docPr id="2" name="Picture 2"/>
            <wp:cNvGraphicFramePr>
              <a:graphicFrameLocks xmlns:a="http://purl.oclc.org/ooxml/drawingml/main" noChangeAspect="1"/>
            </wp:cNvGraphicFramePr>
            <a:graphic xmlns:a="http://purl.oclc.org/ooxml/drawingml/main">
              <a:graphicData uri="http://purl.oclc.org/ooxml/drawingml/picture">
                <pic:pic xmlns:pic="http://purl.oclc.org/ooxml/drawingml/picture">
                  <pic:nvPicPr>
                    <pic:cNvPr id="1" name=""/>
                    <pic:cNvPicPr/>
                  </pic:nvPicPr>
                  <pic:blipFill>
                    <a:blip r:embed="rId7"/>
                    <a:stretch>
                      <a:fillRect/>
                    </a:stretch>
                  </pic:blipFill>
                  <pic:spPr>
                    <a:xfrm>
                      <a:off x="0" y="0"/>
                      <a:ext cx="2133898" cy="1114581"/>
                    </a:xfrm>
                    <a:prstGeom prst="rect">
                      <a:avLst/>
                    </a:prstGeom>
                  </pic:spPr>
                </pic:pic>
              </a:graphicData>
            </a:graphic>
          </wp:inline>
        </w:drawing>
      </w:r>
    </w:p>
    <w:p w:rsidR="001445EF" w:rsidRPr="00A1212A" w:rsidRDefault="001445EF" w:rsidP="001445EF">
      <w:pPr>
        <w:rPr>
          <w:rFonts w:ascii="Times New Roman" w:hAnsi="Times New Roman" w:cs="Times New Roman"/>
        </w:rPr>
      </w:pPr>
    </w:p>
    <w:p w:rsidR="001445EF" w:rsidRPr="00AD50C2" w:rsidRDefault="001445EF" w:rsidP="001445EF">
      <w:pPr>
        <w:ind w:start="99pt"/>
        <w:rPr>
          <w:rFonts w:ascii="Times New Roman" w:hAnsi="Times New Roman" w:cs="Times New Roman"/>
          <w:sz w:val="28"/>
        </w:rPr>
      </w:pPr>
      <w:r w:rsidRPr="00AD50C2">
        <w:rPr>
          <w:rFonts w:ascii="Times New Roman" w:hAnsi="Times New Roman" w:cs="Times New Roman"/>
          <w:sz w:val="28"/>
        </w:rPr>
        <w:t>University of Pardubice</w:t>
      </w:r>
    </w:p>
    <w:p w:rsidR="001445EF" w:rsidRPr="00AD50C2" w:rsidRDefault="001445EF" w:rsidP="001445EF">
      <w:pPr>
        <w:ind w:start="99pt"/>
        <w:rPr>
          <w:rFonts w:ascii="Times New Roman" w:hAnsi="Times New Roman" w:cs="Times New Roman"/>
          <w:sz w:val="28"/>
        </w:rPr>
      </w:pPr>
      <w:r w:rsidRPr="00AD50C2">
        <w:rPr>
          <w:rFonts w:ascii="Times New Roman" w:hAnsi="Times New Roman" w:cs="Times New Roman"/>
          <w:sz w:val="28"/>
        </w:rPr>
        <w:t>Faculty of Arts and Philosophy</w:t>
      </w:r>
    </w:p>
    <w:p w:rsidR="001445EF" w:rsidRDefault="001445EF" w:rsidP="001445EF">
      <w:pPr>
        <w:ind w:start="99pt"/>
        <w:rPr>
          <w:rFonts w:ascii="Times New Roman" w:hAnsi="Times New Roman" w:cs="Times New Roman"/>
          <w:sz w:val="28"/>
        </w:rPr>
      </w:pPr>
    </w:p>
    <w:p w:rsidR="001445EF" w:rsidRDefault="001445EF" w:rsidP="001445EF">
      <w:pPr>
        <w:ind w:start="99pt"/>
        <w:rPr>
          <w:rFonts w:ascii="Times New Roman" w:hAnsi="Times New Roman" w:cs="Times New Roman"/>
          <w:sz w:val="28"/>
        </w:rPr>
      </w:pPr>
    </w:p>
    <w:p w:rsidR="001445EF" w:rsidRDefault="001445EF" w:rsidP="001445EF">
      <w:pPr>
        <w:ind w:start="99pt"/>
        <w:rPr>
          <w:rFonts w:ascii="Times New Roman" w:hAnsi="Times New Roman" w:cs="Times New Roman"/>
          <w:sz w:val="28"/>
        </w:rPr>
      </w:pPr>
    </w:p>
    <w:p w:rsidR="001445EF" w:rsidRPr="00AD50C2" w:rsidRDefault="001445EF" w:rsidP="001445EF">
      <w:pPr>
        <w:ind w:start="99pt"/>
        <w:rPr>
          <w:rFonts w:ascii="Times New Roman" w:hAnsi="Times New Roman" w:cs="Times New Roman"/>
          <w:sz w:val="28"/>
        </w:rPr>
      </w:pPr>
    </w:p>
    <w:p w:rsidR="001445EF" w:rsidRDefault="001445EF" w:rsidP="001445EF">
      <w:pPr>
        <w:ind w:start="99pt"/>
        <w:rPr>
          <w:rFonts w:ascii="Times New Roman" w:hAnsi="Times New Roman" w:cs="Times New Roman"/>
          <w:sz w:val="28"/>
        </w:rPr>
      </w:pPr>
    </w:p>
    <w:p w:rsidR="001445EF" w:rsidRPr="00AD50C2" w:rsidRDefault="001445EF" w:rsidP="001445EF">
      <w:pPr>
        <w:ind w:start="99pt"/>
        <w:rPr>
          <w:rFonts w:ascii="Times New Roman" w:hAnsi="Times New Roman" w:cs="Times New Roman"/>
          <w:sz w:val="28"/>
        </w:rPr>
      </w:pPr>
    </w:p>
    <w:p w:rsidR="001445EF" w:rsidRPr="00AD50C2" w:rsidRDefault="001445EF" w:rsidP="001445EF">
      <w:pPr>
        <w:ind w:start="99pt"/>
        <w:rPr>
          <w:rFonts w:ascii="Times New Roman" w:hAnsi="Times New Roman" w:cs="Times New Roman"/>
          <w:sz w:val="28"/>
        </w:rPr>
      </w:pPr>
    </w:p>
    <w:p w:rsidR="001445EF" w:rsidRPr="00AD50C2" w:rsidRDefault="001445EF" w:rsidP="001445EF">
      <w:pPr>
        <w:ind w:start="99pt"/>
        <w:rPr>
          <w:rFonts w:ascii="Times New Roman" w:hAnsi="Times New Roman" w:cs="Times New Roman"/>
          <w:sz w:val="28"/>
        </w:rPr>
      </w:pPr>
    </w:p>
    <w:p w:rsidR="001445EF" w:rsidRPr="00AD50C2" w:rsidRDefault="001445EF" w:rsidP="001445EF">
      <w:pPr>
        <w:ind w:start="99pt"/>
        <w:rPr>
          <w:rFonts w:ascii="Times New Roman" w:hAnsi="Times New Roman" w:cs="Times New Roman"/>
          <w:sz w:val="28"/>
        </w:rPr>
      </w:pPr>
    </w:p>
    <w:p w:rsidR="001445EF" w:rsidRPr="00AD50C2" w:rsidRDefault="001445EF" w:rsidP="001445EF">
      <w:pPr>
        <w:ind w:start="99pt"/>
        <w:rPr>
          <w:rFonts w:ascii="Times New Roman" w:hAnsi="Times New Roman" w:cs="Times New Roman"/>
          <w:b/>
          <w:sz w:val="40"/>
        </w:rPr>
      </w:pPr>
      <w:r w:rsidRPr="00AD50C2">
        <w:rPr>
          <w:rFonts w:ascii="Times New Roman" w:hAnsi="Times New Roman" w:cs="Times New Roman"/>
          <w:b/>
          <w:sz w:val="40"/>
        </w:rPr>
        <w:t xml:space="preserve">Philosophical and Theological </w:t>
      </w:r>
      <w:r>
        <w:rPr>
          <w:rFonts w:ascii="Times New Roman" w:hAnsi="Times New Roman" w:cs="Times New Roman"/>
          <w:b/>
          <w:sz w:val="40"/>
        </w:rPr>
        <w:t>Contribution</w:t>
      </w:r>
      <w:r w:rsidRPr="00AD50C2">
        <w:rPr>
          <w:rFonts w:ascii="Times New Roman" w:hAnsi="Times New Roman" w:cs="Times New Roman"/>
          <w:b/>
          <w:sz w:val="40"/>
        </w:rPr>
        <w:t xml:space="preserve"> of Josef Pospíšil </w:t>
      </w:r>
      <w:r>
        <w:rPr>
          <w:rFonts w:ascii="Times New Roman" w:hAnsi="Times New Roman" w:cs="Times New Roman"/>
          <w:b/>
          <w:sz w:val="40"/>
        </w:rPr>
        <w:br/>
      </w:r>
      <w:r w:rsidRPr="00AD50C2">
        <w:rPr>
          <w:rFonts w:ascii="Times New Roman" w:hAnsi="Times New Roman" w:cs="Times New Roman"/>
          <w:b/>
          <w:sz w:val="40"/>
        </w:rPr>
        <w:t>(1845-1926)</w:t>
      </w:r>
    </w:p>
    <w:p w:rsidR="001445EF" w:rsidRPr="00AD50C2" w:rsidRDefault="001445EF" w:rsidP="001445EF">
      <w:pPr>
        <w:ind w:start="99pt"/>
        <w:rPr>
          <w:rFonts w:ascii="Times New Roman" w:hAnsi="Times New Roman" w:cs="Times New Roman"/>
          <w:b/>
          <w:sz w:val="28"/>
        </w:rPr>
      </w:pPr>
    </w:p>
    <w:p w:rsidR="001445EF" w:rsidRPr="00AD50C2" w:rsidRDefault="001445EF" w:rsidP="001445EF">
      <w:pPr>
        <w:ind w:start="99pt"/>
        <w:rPr>
          <w:rFonts w:ascii="Times New Roman" w:hAnsi="Times New Roman" w:cs="Times New Roman"/>
          <w:sz w:val="28"/>
        </w:rPr>
      </w:pPr>
      <w:r w:rsidRPr="00AD50C2">
        <w:rPr>
          <w:rFonts w:ascii="Times New Roman" w:hAnsi="Times New Roman" w:cs="Times New Roman"/>
          <w:sz w:val="28"/>
        </w:rPr>
        <w:t>A Summary of Ph.D. Thesis</w:t>
      </w:r>
    </w:p>
    <w:p w:rsidR="001445EF" w:rsidRPr="00AD50C2" w:rsidRDefault="001445EF" w:rsidP="001445EF">
      <w:pPr>
        <w:ind w:start="99pt"/>
        <w:rPr>
          <w:rFonts w:ascii="Times New Roman" w:hAnsi="Times New Roman" w:cs="Times New Roman"/>
          <w:sz w:val="28"/>
        </w:rPr>
      </w:pPr>
    </w:p>
    <w:p w:rsidR="001445EF" w:rsidRPr="00AD50C2" w:rsidRDefault="001445EF" w:rsidP="001445EF">
      <w:pPr>
        <w:ind w:start="99pt"/>
        <w:rPr>
          <w:rFonts w:ascii="Times New Roman" w:hAnsi="Times New Roman" w:cs="Times New Roman"/>
          <w:sz w:val="28"/>
        </w:rPr>
      </w:pPr>
      <w:r w:rsidRPr="00AD50C2">
        <w:rPr>
          <w:rFonts w:ascii="Times New Roman" w:hAnsi="Times New Roman" w:cs="Times New Roman"/>
          <w:sz w:val="28"/>
        </w:rPr>
        <w:t>Author: Mgr. Bc. Vladimír Zeman</w:t>
      </w:r>
    </w:p>
    <w:p w:rsidR="001445EF" w:rsidRPr="00AD50C2" w:rsidRDefault="001445EF" w:rsidP="001445EF">
      <w:pPr>
        <w:ind w:start="99pt"/>
        <w:rPr>
          <w:rFonts w:ascii="Times New Roman" w:hAnsi="Times New Roman" w:cs="Times New Roman"/>
          <w:sz w:val="28"/>
        </w:rPr>
      </w:pPr>
    </w:p>
    <w:p w:rsidR="001445EF" w:rsidRPr="00AD50C2" w:rsidRDefault="001445EF" w:rsidP="001445EF">
      <w:pPr>
        <w:ind w:start="99pt"/>
        <w:rPr>
          <w:rFonts w:ascii="Times New Roman" w:hAnsi="Times New Roman" w:cs="Times New Roman"/>
          <w:sz w:val="28"/>
        </w:rPr>
      </w:pPr>
    </w:p>
    <w:p w:rsidR="001445EF" w:rsidRPr="00AD50C2" w:rsidRDefault="001445EF" w:rsidP="001445EF">
      <w:pPr>
        <w:ind w:start="99pt"/>
        <w:rPr>
          <w:rFonts w:ascii="Times New Roman" w:hAnsi="Times New Roman" w:cs="Times New Roman"/>
          <w:sz w:val="28"/>
        </w:rPr>
      </w:pPr>
    </w:p>
    <w:p w:rsidR="001445EF" w:rsidRPr="00AD50C2" w:rsidRDefault="001445EF" w:rsidP="001445EF">
      <w:pPr>
        <w:ind w:start="99pt"/>
        <w:rPr>
          <w:rFonts w:ascii="Times New Roman" w:hAnsi="Times New Roman" w:cs="Times New Roman"/>
          <w:sz w:val="28"/>
        </w:rPr>
      </w:pPr>
    </w:p>
    <w:p w:rsidR="001445EF" w:rsidRPr="00AD50C2" w:rsidRDefault="001445EF" w:rsidP="001445EF">
      <w:pPr>
        <w:ind w:start="99pt"/>
        <w:rPr>
          <w:rFonts w:ascii="Times New Roman" w:hAnsi="Times New Roman" w:cs="Times New Roman"/>
          <w:sz w:val="28"/>
        </w:rPr>
      </w:pPr>
    </w:p>
    <w:p w:rsidR="001445EF" w:rsidRDefault="001445EF" w:rsidP="001445EF">
      <w:pPr>
        <w:ind w:start="99pt"/>
        <w:rPr>
          <w:rFonts w:ascii="Times New Roman" w:hAnsi="Times New Roman" w:cs="Times New Roman"/>
          <w:sz w:val="28"/>
        </w:rPr>
      </w:pPr>
    </w:p>
    <w:p w:rsidR="001445EF" w:rsidRDefault="001445EF" w:rsidP="001445EF">
      <w:pPr>
        <w:ind w:start="99pt"/>
        <w:rPr>
          <w:rFonts w:ascii="Times New Roman" w:hAnsi="Times New Roman" w:cs="Times New Roman"/>
          <w:sz w:val="28"/>
        </w:rPr>
      </w:pPr>
    </w:p>
    <w:p w:rsidR="001445EF" w:rsidRDefault="001445EF" w:rsidP="001445EF">
      <w:pPr>
        <w:ind w:start="99pt"/>
        <w:rPr>
          <w:rFonts w:ascii="Times New Roman" w:hAnsi="Times New Roman" w:cs="Times New Roman"/>
          <w:sz w:val="28"/>
        </w:rPr>
      </w:pPr>
    </w:p>
    <w:p w:rsidR="001445EF" w:rsidRPr="00AD50C2" w:rsidRDefault="001445EF" w:rsidP="001445EF">
      <w:pPr>
        <w:ind w:start="99pt"/>
        <w:rPr>
          <w:rFonts w:ascii="Times New Roman" w:hAnsi="Times New Roman" w:cs="Times New Roman"/>
          <w:sz w:val="28"/>
        </w:rPr>
      </w:pPr>
    </w:p>
    <w:p w:rsidR="001445EF" w:rsidRPr="00AD50C2" w:rsidRDefault="001445EF" w:rsidP="001445EF">
      <w:pPr>
        <w:ind w:start="99pt"/>
        <w:rPr>
          <w:rFonts w:ascii="Times New Roman" w:hAnsi="Times New Roman" w:cs="Times New Roman"/>
          <w:sz w:val="28"/>
        </w:rPr>
      </w:pPr>
    </w:p>
    <w:p w:rsidR="001445EF" w:rsidRPr="00AD50C2" w:rsidRDefault="001445EF" w:rsidP="001445EF">
      <w:pPr>
        <w:ind w:start="99pt"/>
        <w:rPr>
          <w:rFonts w:ascii="Times New Roman" w:hAnsi="Times New Roman" w:cs="Times New Roman"/>
          <w:sz w:val="28"/>
        </w:rPr>
      </w:pPr>
    </w:p>
    <w:p w:rsidR="001445EF" w:rsidRDefault="001445EF" w:rsidP="001445EF">
      <w:pPr>
        <w:ind w:start="99pt"/>
        <w:rPr>
          <w:sz w:val="28"/>
          <w:szCs w:val="28"/>
          <w:lang w:val="en-US"/>
        </w:rPr>
      </w:pPr>
      <w:r w:rsidRPr="00AD50C2">
        <w:rPr>
          <w:rFonts w:ascii="Times New Roman" w:hAnsi="Times New Roman" w:cs="Times New Roman"/>
          <w:sz w:val="28"/>
        </w:rPr>
        <w:t>Pardubice 2019</w:t>
      </w:r>
      <w:r>
        <w:rPr>
          <w:sz w:val="28"/>
          <w:szCs w:val="28"/>
          <w:lang w:val="en-US"/>
        </w:rPr>
        <w:br w:type="page"/>
      </w:r>
    </w:p>
    <w:p w:rsidR="006D6B8D" w:rsidRDefault="000C2B83" w:rsidP="00834CE7">
      <w:pPr>
        <w:pStyle w:val="Standard"/>
        <w:spacing w:after="12pt" w:line="18pt" w:lineRule="auto"/>
        <w:ind w:start="9pt"/>
        <w:jc w:val="both"/>
        <w:rPr>
          <w:sz w:val="28"/>
          <w:szCs w:val="28"/>
          <w:lang w:val="en-US"/>
        </w:rPr>
      </w:pPr>
      <w:r w:rsidRPr="006D6B8D">
        <w:rPr>
          <w:sz w:val="28"/>
          <w:szCs w:val="28"/>
          <w:lang w:val="en-US"/>
        </w:rPr>
        <w:lastRenderedPageBreak/>
        <w:t>The contribution of Josef Pospíšil's philosophical and theological work can be seen from several points of view. In addition to his many years of teaching at the Theological Institute in Brno in the education of priesthood candidates, it is necessary to ask whether his work bore some distinctive features of his own thinking of tracted questions or whether it was a mere reception of previously published ideas. When analyzing Pospíšil's work, it is evident that much of it is really taken over in the spirit of manualism, when the authors drew from their predecessors, whose work he also considered not their own, but as a kind of common knowledge in their discipline. Nevertheless, we also fin</w:t>
      </w:r>
      <w:r w:rsidR="006D6B8D">
        <w:rPr>
          <w:sz w:val="28"/>
          <w:szCs w:val="28"/>
          <w:lang w:val="en-US"/>
        </w:rPr>
        <w:t xml:space="preserve">d places in </w:t>
      </w:r>
      <w:r w:rsidRPr="006D6B8D">
        <w:rPr>
          <w:sz w:val="28"/>
          <w:szCs w:val="28"/>
          <w:lang w:val="en-US"/>
        </w:rPr>
        <w:t>Pospíšil</w:t>
      </w:r>
      <w:r w:rsidR="006D6B8D">
        <w:rPr>
          <w:sz w:val="28"/>
          <w:szCs w:val="28"/>
          <w:lang w:val="en-US"/>
        </w:rPr>
        <w:t>’s works</w:t>
      </w:r>
      <w:r w:rsidRPr="006D6B8D">
        <w:rPr>
          <w:sz w:val="28"/>
          <w:szCs w:val="28"/>
          <w:lang w:val="en-US"/>
        </w:rPr>
        <w:t xml:space="preserve">, which cannot simply be considered as a reception of thomistic sources, although Pospíšil professed Thomas Aquinas' philosophy and theology. These are the themes of </w:t>
      </w:r>
      <w:r w:rsidRPr="006D6B8D">
        <w:rPr>
          <w:b/>
          <w:sz w:val="28"/>
          <w:szCs w:val="28"/>
          <w:lang w:val="en-US"/>
        </w:rPr>
        <w:t>infinity</w:t>
      </w:r>
      <w:r w:rsidRPr="006D6B8D">
        <w:rPr>
          <w:sz w:val="28"/>
          <w:szCs w:val="28"/>
          <w:lang w:val="en-US"/>
        </w:rPr>
        <w:t xml:space="preserve">, </w:t>
      </w:r>
      <w:r w:rsidRPr="006D6B8D">
        <w:rPr>
          <w:b/>
          <w:sz w:val="28"/>
          <w:szCs w:val="28"/>
          <w:lang w:val="en-US"/>
        </w:rPr>
        <w:t>free will</w:t>
      </w:r>
      <w:r w:rsidRPr="006D6B8D">
        <w:rPr>
          <w:sz w:val="28"/>
          <w:szCs w:val="28"/>
          <w:lang w:val="en-US"/>
        </w:rPr>
        <w:t xml:space="preserve"> and </w:t>
      </w:r>
      <w:r w:rsidRPr="006D6B8D">
        <w:rPr>
          <w:b/>
          <w:sz w:val="28"/>
          <w:szCs w:val="28"/>
          <w:lang w:val="en-US"/>
        </w:rPr>
        <w:t>temporal creation</w:t>
      </w:r>
      <w:r w:rsidRPr="006D6B8D">
        <w:rPr>
          <w:sz w:val="28"/>
          <w:szCs w:val="28"/>
          <w:lang w:val="en-US"/>
        </w:rPr>
        <w:t>.</w:t>
      </w:r>
    </w:p>
    <w:p w:rsidR="006D6B8D" w:rsidRDefault="006D6B8D" w:rsidP="006D6B8D">
      <w:pPr>
        <w:jc w:val="both"/>
        <w:rPr>
          <w:sz w:val="28"/>
          <w:szCs w:val="28"/>
          <w:lang w:val="en-US"/>
        </w:rPr>
      </w:pPr>
      <w:r>
        <w:rPr>
          <w:sz w:val="28"/>
          <w:szCs w:val="28"/>
          <w:lang w:val="en-US"/>
        </w:rPr>
        <w:br w:type="page"/>
      </w:r>
    </w:p>
    <w:p w:rsidR="008010CC" w:rsidRPr="006D6B8D" w:rsidRDefault="000C2B83" w:rsidP="006D6B8D">
      <w:pPr>
        <w:pStyle w:val="Standard"/>
        <w:spacing w:after="12pt" w:line="18pt" w:lineRule="auto"/>
        <w:jc w:val="both"/>
        <w:rPr>
          <w:sz w:val="28"/>
          <w:szCs w:val="28"/>
          <w:lang w:val="en-US"/>
        </w:rPr>
      </w:pPr>
      <w:r w:rsidRPr="006D6B8D">
        <w:rPr>
          <w:sz w:val="28"/>
          <w:szCs w:val="28"/>
          <w:lang w:val="en-US"/>
        </w:rPr>
        <w:lastRenderedPageBreak/>
        <w:t>I.</w:t>
      </w:r>
    </w:p>
    <w:p w:rsidR="006E159C" w:rsidRDefault="000C2B83" w:rsidP="000C2B83">
      <w:pPr>
        <w:pStyle w:val="Textbody"/>
        <w:spacing w:after="12pt" w:line="18pt" w:lineRule="auto"/>
        <w:jc w:val="both"/>
        <w:rPr>
          <w:sz w:val="28"/>
          <w:szCs w:val="28"/>
          <w:lang w:val="en-US"/>
        </w:rPr>
      </w:pPr>
      <w:r w:rsidRPr="006D6B8D">
        <w:rPr>
          <w:sz w:val="28"/>
          <w:szCs w:val="28"/>
          <w:lang w:val="en-US"/>
        </w:rPr>
        <w:t>The theme of infinity is a question for philosophers of all time and is closely related to the cosmological insights of each thinker. In the history of philosophy, the term apeiron (ἄπειρον) already appears in Anaximander, which expresses infinity in the sense of boundlessness, i. e. from the point of view that infinity is the inherent absence of boundaries. As a result, infinity can be all-embracing and all-encompassing and infinitely large. On the other hand, the Zenon of Elya encounters infinity in terms of infinite divisibility as it is expressed in his aporias of movement, which lead to infinite reduction by infinite regress. Nevertheless, it is also possible to clarify his aporias from another point of view that movement can be grasped by terms from (</w:t>
      </w:r>
      <w:r w:rsidRPr="008113C1">
        <w:rPr>
          <w:i/>
          <w:sz w:val="28"/>
          <w:szCs w:val="28"/>
          <w:lang w:val="en-US"/>
        </w:rPr>
        <w:t>a quo</w:t>
      </w:r>
      <w:r w:rsidRPr="006D6B8D">
        <w:rPr>
          <w:sz w:val="28"/>
          <w:szCs w:val="28"/>
          <w:lang w:val="en-US"/>
        </w:rPr>
        <w:t>) and where (</w:t>
      </w:r>
      <w:r w:rsidRPr="006E159C">
        <w:rPr>
          <w:i/>
          <w:sz w:val="28"/>
          <w:szCs w:val="28"/>
          <w:lang w:val="en-US"/>
        </w:rPr>
        <w:t>ad quem</w:t>
      </w:r>
      <w:r w:rsidRPr="006D6B8D">
        <w:rPr>
          <w:sz w:val="28"/>
          <w:szCs w:val="28"/>
          <w:lang w:val="en-US"/>
        </w:rPr>
        <w:t>) it is heading. But all infinitely many intermediate points of movement are only potentially delineated.</w:t>
      </w:r>
    </w:p>
    <w:p w:rsidR="008113C1" w:rsidRDefault="000C2B83" w:rsidP="000C2B83">
      <w:pPr>
        <w:pStyle w:val="Textbody"/>
        <w:spacing w:after="12pt" w:line="18pt" w:lineRule="auto"/>
        <w:jc w:val="both"/>
        <w:rPr>
          <w:sz w:val="28"/>
          <w:szCs w:val="28"/>
          <w:lang w:val="en-US"/>
        </w:rPr>
      </w:pPr>
      <w:r w:rsidRPr="006D6B8D">
        <w:rPr>
          <w:sz w:val="28"/>
          <w:szCs w:val="28"/>
          <w:lang w:val="en-US"/>
        </w:rPr>
        <w:t xml:space="preserve">Aristotle's thinking about infinity refers to the infinity of time, variables and numbers, which can always be called infinity in the above-mentioned potential sense. In addition, Aristotle considers infinity in terms of the absence of limits. What is infinite, it is not possible to pass sequentially for an infinite number of parts. Aristotle gives a negative answer to whether there can be a currently infinite composite substance. Because the infinite number, quantity, magnification or division can always be considered only potentially, </w:t>
      </w:r>
      <w:r w:rsidR="008113C1">
        <w:rPr>
          <w:sz w:val="28"/>
          <w:szCs w:val="28"/>
          <w:lang w:val="en-US"/>
        </w:rPr>
        <w:t>due to</w:t>
      </w:r>
      <w:r w:rsidRPr="006D6B8D">
        <w:rPr>
          <w:sz w:val="28"/>
          <w:szCs w:val="28"/>
          <w:lang w:val="en-US"/>
        </w:rPr>
        <w:t xml:space="preserve"> its actual dimensions, especially with regard to infinitely large, could not be set out and such a being would be everywhere and at the same time anywhere. However, Aristotle does not yet say that infinity does not exist at present, because he considers as the current infinity the First Mover as the cause of movement in the world whose duration he considers to be infinite, from which it can be concluded that time according to Aristotle can be infinite.</w:t>
      </w:r>
      <w:r w:rsidR="008113C1">
        <w:rPr>
          <w:sz w:val="28"/>
          <w:szCs w:val="28"/>
          <w:lang w:val="en-US"/>
        </w:rPr>
        <w:br w:type="page"/>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lastRenderedPageBreak/>
        <w:t>Thomas Aquinas takes over Aristotle's actual and potential infinity. However, he adds another view of the division of infinity types. Thus privative infinity (</w:t>
      </w:r>
      <w:r w:rsidRPr="008113C1">
        <w:rPr>
          <w:i/>
          <w:sz w:val="28"/>
          <w:szCs w:val="28"/>
          <w:lang w:val="en-US"/>
        </w:rPr>
        <w:t>infinitum modo privative</w:t>
      </w:r>
      <w:r w:rsidRPr="006D6B8D">
        <w:rPr>
          <w:sz w:val="28"/>
          <w:szCs w:val="28"/>
          <w:lang w:val="en-US"/>
        </w:rPr>
        <w:t>) is what it is inherent to have limits, but they are taken or moved further. This infinity concerns quantity. By contrast, negative infinity (</w:t>
      </w:r>
      <w:r w:rsidRPr="008113C1">
        <w:rPr>
          <w:i/>
          <w:sz w:val="28"/>
          <w:szCs w:val="28"/>
          <w:lang w:val="en-US"/>
        </w:rPr>
        <w:t>infinitum modo negative</w:t>
      </w:r>
      <w:r w:rsidRPr="006D6B8D">
        <w:rPr>
          <w:sz w:val="28"/>
          <w:szCs w:val="28"/>
          <w:lang w:val="en-US"/>
        </w:rPr>
        <w:t>) has no limits at all. This negative infinity is predictable only to the substance of God. But another question is whether negative infinity could be attributed in the actual sense to some properties of created beings in certain respect (</w:t>
      </w:r>
      <w:r w:rsidRPr="008113C1">
        <w:rPr>
          <w:i/>
          <w:sz w:val="28"/>
          <w:szCs w:val="28"/>
          <w:lang w:val="en-US"/>
        </w:rPr>
        <w:t>infinitum secundum quid</w:t>
      </w:r>
      <w:r w:rsidRPr="006D6B8D">
        <w:rPr>
          <w:sz w:val="28"/>
          <w:szCs w:val="28"/>
          <w:lang w:val="en-US"/>
        </w:rPr>
        <w:t>). Indeed, God belongs to the actual negative infinity directly from his nature (</w:t>
      </w:r>
      <w:r w:rsidRPr="008113C1">
        <w:rPr>
          <w:i/>
          <w:sz w:val="28"/>
          <w:szCs w:val="28"/>
          <w:lang w:val="en-US"/>
        </w:rPr>
        <w:t>infinitum simpliciter</w:t>
      </w:r>
      <w:r w:rsidRPr="006D6B8D">
        <w:rPr>
          <w:sz w:val="28"/>
          <w:szCs w:val="28"/>
          <w:lang w:val="en-US"/>
        </w:rPr>
        <w:t>).</w:t>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t>The concept of infinity in Pospíšil is not a simple takeover of Thomas' teachings, what is particularly evident when he clearly rejects infinity in a certain respect (</w:t>
      </w:r>
      <w:r w:rsidRPr="008113C1">
        <w:rPr>
          <w:i/>
          <w:sz w:val="28"/>
          <w:szCs w:val="28"/>
          <w:lang w:val="en-US"/>
        </w:rPr>
        <w:t>infinitum secundum quid</w:t>
      </w:r>
      <w:r w:rsidRPr="006D6B8D">
        <w:rPr>
          <w:sz w:val="28"/>
          <w:szCs w:val="28"/>
          <w:lang w:val="en-US"/>
        </w:rPr>
        <w:t>). This is understandable considering the sources Pospí</w:t>
      </w:r>
      <w:r w:rsidR="008113C1">
        <w:rPr>
          <w:sz w:val="28"/>
          <w:szCs w:val="28"/>
        </w:rPr>
        <w:t>š</w:t>
      </w:r>
      <w:r w:rsidRPr="006D6B8D">
        <w:rPr>
          <w:sz w:val="28"/>
          <w:szCs w:val="28"/>
          <w:lang w:val="en-US"/>
        </w:rPr>
        <w:t>il drew from: Franz Egger divides infinity into the same types as found in Thomas Aquinas. However, he also denotes negative infinity as categorematical (</w:t>
      </w:r>
      <w:r w:rsidRPr="008113C1">
        <w:rPr>
          <w:i/>
          <w:sz w:val="28"/>
          <w:szCs w:val="28"/>
          <w:lang w:val="en-US"/>
        </w:rPr>
        <w:t>infinitum categorematicum</w:t>
      </w:r>
      <w:r w:rsidRPr="006D6B8D">
        <w:rPr>
          <w:sz w:val="28"/>
          <w:szCs w:val="28"/>
          <w:lang w:val="en-US"/>
        </w:rPr>
        <w:t xml:space="preserve">), its subspecies </w:t>
      </w:r>
      <w:r w:rsidRPr="008113C1">
        <w:rPr>
          <w:i/>
          <w:sz w:val="28"/>
          <w:szCs w:val="28"/>
          <w:lang w:val="en-US"/>
        </w:rPr>
        <w:t>infinitum simpliciter</w:t>
      </w:r>
      <w:r w:rsidRPr="006D6B8D">
        <w:rPr>
          <w:sz w:val="28"/>
          <w:szCs w:val="28"/>
          <w:lang w:val="en-US"/>
        </w:rPr>
        <w:t xml:space="preserve"> as </w:t>
      </w:r>
      <w:r w:rsidRPr="008113C1">
        <w:rPr>
          <w:i/>
          <w:sz w:val="28"/>
          <w:szCs w:val="28"/>
          <w:lang w:val="en-US"/>
        </w:rPr>
        <w:t>infi</w:t>
      </w:r>
      <w:r w:rsidR="008113C1" w:rsidRPr="008113C1">
        <w:rPr>
          <w:i/>
          <w:sz w:val="28"/>
          <w:szCs w:val="28"/>
          <w:lang w:val="en-US"/>
        </w:rPr>
        <w:t xml:space="preserve">nitum </w:t>
      </w:r>
      <w:r w:rsidRPr="008113C1">
        <w:rPr>
          <w:i/>
          <w:sz w:val="28"/>
          <w:szCs w:val="28"/>
          <w:lang w:val="en-US"/>
        </w:rPr>
        <w:t>per essentiam</w:t>
      </w:r>
      <w:r w:rsidRPr="006D6B8D">
        <w:rPr>
          <w:sz w:val="28"/>
          <w:szCs w:val="28"/>
          <w:lang w:val="en-US"/>
        </w:rPr>
        <w:t xml:space="preserve"> and </w:t>
      </w:r>
      <w:r w:rsidRPr="008113C1">
        <w:rPr>
          <w:i/>
          <w:sz w:val="28"/>
          <w:szCs w:val="28"/>
          <w:lang w:val="en-US"/>
        </w:rPr>
        <w:t>infinitum secundum quid</w:t>
      </w:r>
      <w:r w:rsidRPr="006D6B8D">
        <w:rPr>
          <w:sz w:val="28"/>
          <w:szCs w:val="28"/>
          <w:lang w:val="en-US"/>
        </w:rPr>
        <w:t xml:space="preserve"> meaningfully denotes </w:t>
      </w:r>
      <w:r w:rsidRPr="008113C1">
        <w:rPr>
          <w:i/>
          <w:sz w:val="28"/>
          <w:szCs w:val="28"/>
          <w:lang w:val="en-US"/>
        </w:rPr>
        <w:t>infinitum in certo ordine</w:t>
      </w:r>
      <w:r w:rsidRPr="006D6B8D">
        <w:rPr>
          <w:sz w:val="28"/>
          <w:szCs w:val="28"/>
          <w:lang w:val="en-US"/>
        </w:rPr>
        <w:t>. Privative potential infinity is also called syncategorematical or indefinite (</w:t>
      </w:r>
      <w:r w:rsidRPr="008113C1">
        <w:rPr>
          <w:i/>
          <w:sz w:val="28"/>
          <w:szCs w:val="28"/>
          <w:lang w:val="en-US"/>
        </w:rPr>
        <w:t>indefinitum</w:t>
      </w:r>
      <w:r w:rsidRPr="006D6B8D">
        <w:rPr>
          <w:sz w:val="28"/>
          <w:szCs w:val="28"/>
          <w:lang w:val="en-US"/>
        </w:rPr>
        <w:t xml:space="preserve">). Albert Stöckl divides infinity from two points of view. The first division is in potential infinity </w:t>
      </w:r>
      <w:r w:rsidRPr="008113C1">
        <w:rPr>
          <w:i/>
          <w:sz w:val="28"/>
          <w:szCs w:val="28"/>
          <w:lang w:val="en-US"/>
        </w:rPr>
        <w:t>(Unendlich der Möglichkeit nach</w:t>
      </w:r>
      <w:r w:rsidRPr="006D6B8D">
        <w:rPr>
          <w:sz w:val="28"/>
          <w:szCs w:val="28"/>
          <w:lang w:val="en-US"/>
        </w:rPr>
        <w:t>) and actual infinity (</w:t>
      </w:r>
      <w:r w:rsidRPr="008113C1">
        <w:rPr>
          <w:i/>
          <w:sz w:val="28"/>
          <w:szCs w:val="28"/>
          <w:lang w:val="en-US"/>
        </w:rPr>
        <w:t>Unendlich der Wirklichkeit nach</w:t>
      </w:r>
      <w:r w:rsidRPr="006D6B8D">
        <w:rPr>
          <w:sz w:val="28"/>
          <w:szCs w:val="28"/>
          <w:lang w:val="en-US"/>
        </w:rPr>
        <w:t>). He perceives the actual infinity in a privative sense. The second division determines infinity in the sense of mathematics (</w:t>
      </w:r>
      <w:r w:rsidRPr="008113C1">
        <w:rPr>
          <w:i/>
          <w:sz w:val="28"/>
          <w:szCs w:val="28"/>
          <w:lang w:val="en-US"/>
        </w:rPr>
        <w:t>im mathematischen Sinne</w:t>
      </w:r>
      <w:r w:rsidRPr="006D6B8D">
        <w:rPr>
          <w:sz w:val="28"/>
          <w:szCs w:val="28"/>
          <w:lang w:val="en-US"/>
        </w:rPr>
        <w:t>), which relates to quantity and which is merely an imaginary being (</w:t>
      </w:r>
      <w:r w:rsidRPr="008113C1">
        <w:rPr>
          <w:i/>
          <w:sz w:val="28"/>
          <w:szCs w:val="28"/>
          <w:lang w:val="en-US"/>
        </w:rPr>
        <w:t>ens rationis</w:t>
      </w:r>
      <w:r w:rsidRPr="006D6B8D">
        <w:rPr>
          <w:sz w:val="28"/>
          <w:szCs w:val="28"/>
          <w:lang w:val="en-US"/>
        </w:rPr>
        <w:t>) and on the other hand infinity in the metaphysical sense (</w:t>
      </w:r>
      <w:r w:rsidRPr="008113C1">
        <w:rPr>
          <w:i/>
          <w:sz w:val="28"/>
          <w:szCs w:val="28"/>
          <w:lang w:val="en-US"/>
        </w:rPr>
        <w:t>im metaphysischen Sinne</w:t>
      </w:r>
      <w:r w:rsidRPr="006D6B8D">
        <w:rPr>
          <w:sz w:val="28"/>
          <w:szCs w:val="28"/>
          <w:lang w:val="en-US"/>
        </w:rPr>
        <w:t xml:space="preserve">) is such a being that directly excludes any limit and imperfection from its metaphysical constitution. </w:t>
      </w:r>
      <w:r w:rsidRPr="006D6B8D">
        <w:rPr>
          <w:sz w:val="28"/>
          <w:szCs w:val="28"/>
          <w:lang w:val="en-US"/>
        </w:rPr>
        <w:lastRenderedPageBreak/>
        <w:t>However, Stöckl's addition to this is important: potential infinity is always in a mathematical sense and actual infinity is always only in a metaphysical sense and that every metaphysically finite being has all properties actually finite and metaphysically infinite being is in all points of view infinite. So Stöckl leaves no room for infinity in some way (</w:t>
      </w:r>
      <w:r w:rsidRPr="008113C1">
        <w:rPr>
          <w:i/>
          <w:sz w:val="28"/>
          <w:szCs w:val="28"/>
          <w:lang w:val="en-US"/>
        </w:rPr>
        <w:t>infinitum secundum quid</w:t>
      </w:r>
      <w:r w:rsidRPr="006D6B8D">
        <w:rPr>
          <w:sz w:val="28"/>
          <w:szCs w:val="28"/>
          <w:lang w:val="en-US"/>
        </w:rPr>
        <w:t>), which would be in some respects finite and in some infinite.</w:t>
      </w:r>
    </w:p>
    <w:p w:rsidR="000C2B83" w:rsidRDefault="000C2B83" w:rsidP="006D6B8D">
      <w:pPr>
        <w:pStyle w:val="Standard"/>
        <w:spacing w:after="12pt" w:line="18pt" w:lineRule="auto"/>
        <w:jc w:val="both"/>
        <w:rPr>
          <w:sz w:val="28"/>
          <w:szCs w:val="28"/>
          <w:lang w:val="en-US"/>
        </w:rPr>
      </w:pPr>
      <w:r w:rsidRPr="006D6B8D">
        <w:rPr>
          <w:sz w:val="28"/>
          <w:szCs w:val="28"/>
          <w:lang w:val="en-US"/>
        </w:rPr>
        <w:t>Josef Pospíšil deals with infinity in his metaphysics, but the theme of infinity permeates his entire work. However, he has very often commented on this topic in Cosmology. Pospíšil's description of infinity as an affirmation of being and a</w:t>
      </w:r>
      <w:r w:rsidR="00F23B4E">
        <w:rPr>
          <w:sz w:val="28"/>
          <w:szCs w:val="28"/>
          <w:lang w:val="en-US"/>
        </w:rPr>
        <w:t> </w:t>
      </w:r>
      <w:r w:rsidRPr="006D6B8D">
        <w:rPr>
          <w:sz w:val="28"/>
          <w:szCs w:val="28"/>
          <w:lang w:val="en-US"/>
        </w:rPr>
        <w:t>negation of its boundaries resembles Stöckl's description. In addition, the term in</w:t>
      </w:r>
      <w:r w:rsidR="00F23B4E">
        <w:rPr>
          <w:sz w:val="28"/>
          <w:szCs w:val="28"/>
          <w:lang w:val="en-US"/>
        </w:rPr>
        <w:t>finity appears as in Egger, when</w:t>
      </w:r>
      <w:r w:rsidRPr="006D6B8D">
        <w:rPr>
          <w:sz w:val="28"/>
          <w:szCs w:val="28"/>
          <w:lang w:val="en-US"/>
        </w:rPr>
        <w:t xml:space="preserve"> the terms infinity categorematical and syncategorematical are introduced. The problem arises, when we realize, he fused the </w:t>
      </w:r>
      <w:r w:rsidRPr="00F23B4E">
        <w:rPr>
          <w:i/>
          <w:sz w:val="28"/>
          <w:szCs w:val="28"/>
          <w:lang w:val="en-US"/>
        </w:rPr>
        <w:t>infinitum secundum quid</w:t>
      </w:r>
      <w:r w:rsidRPr="006D6B8D">
        <w:rPr>
          <w:sz w:val="28"/>
          <w:szCs w:val="28"/>
          <w:lang w:val="en-US"/>
        </w:rPr>
        <w:t xml:space="preserve"> and </w:t>
      </w:r>
      <w:r w:rsidRPr="00F23B4E">
        <w:rPr>
          <w:i/>
          <w:sz w:val="28"/>
          <w:szCs w:val="28"/>
          <w:lang w:val="en-US"/>
        </w:rPr>
        <w:t>indefinitum</w:t>
      </w:r>
      <w:r w:rsidRPr="006D6B8D">
        <w:rPr>
          <w:sz w:val="28"/>
          <w:szCs w:val="28"/>
          <w:lang w:val="en-US"/>
        </w:rPr>
        <w:t xml:space="preserve"> as syncategorematical infinite and </w:t>
      </w:r>
      <w:r w:rsidRPr="00F23B4E">
        <w:rPr>
          <w:i/>
          <w:sz w:val="28"/>
          <w:szCs w:val="28"/>
          <w:lang w:val="en-US"/>
        </w:rPr>
        <w:t>infinitum simpliciter</w:t>
      </w:r>
      <w:r w:rsidRPr="006D6B8D">
        <w:rPr>
          <w:sz w:val="28"/>
          <w:szCs w:val="28"/>
          <w:lang w:val="en-US"/>
        </w:rPr>
        <w:t xml:space="preserve"> is the only type, which he assigns as categorematical infinite. He considers infinity in a mathematical sense, just as Stöckl, as </w:t>
      </w:r>
      <w:r w:rsidRPr="00F23B4E">
        <w:rPr>
          <w:i/>
          <w:sz w:val="28"/>
          <w:szCs w:val="28"/>
          <w:lang w:val="en-US"/>
        </w:rPr>
        <w:t>ens rationis</w:t>
      </w:r>
      <w:r w:rsidRPr="006D6B8D">
        <w:rPr>
          <w:sz w:val="28"/>
          <w:szCs w:val="28"/>
          <w:lang w:val="en-US"/>
        </w:rPr>
        <w:t xml:space="preserve"> (imaginary being), which he calls also indefinite or infinity of quantity. It is the only kind of infinity that he acknowledges beyond the actual infinity of substance. In the concept of syncategorematical infinity is included infinity in a mathematical sense (indefinite, potential infinity) and </w:t>
      </w:r>
      <w:r w:rsidRPr="00F23B4E">
        <w:rPr>
          <w:i/>
          <w:sz w:val="28"/>
          <w:szCs w:val="28"/>
          <w:lang w:val="en-US"/>
        </w:rPr>
        <w:t>infinitum secundum quid</w:t>
      </w:r>
      <w:r w:rsidRPr="006D6B8D">
        <w:rPr>
          <w:sz w:val="28"/>
          <w:szCs w:val="28"/>
          <w:lang w:val="en-US"/>
        </w:rPr>
        <w:t>, which he always recognizes only as potential infinity, what we consider as illegitimate identification of terms. Pospíšil assumes Stöckl's principle that an infinite being must have all the properties infinite and the finite being has all properties actually finite. A finite being does cannot have any infinite property in actual sense, only in potential. For a reception of any actually infinite property would need a beeing a negatively infinite essence.</w:t>
      </w:r>
    </w:p>
    <w:p w:rsidR="000C2B83" w:rsidRDefault="000C2B83">
      <w:pPr>
        <w:rPr>
          <w:sz w:val="28"/>
          <w:szCs w:val="28"/>
          <w:lang w:val="en-US"/>
        </w:rPr>
      </w:pPr>
      <w:r>
        <w:rPr>
          <w:sz w:val="28"/>
          <w:szCs w:val="28"/>
          <w:lang w:val="en-US"/>
        </w:rPr>
        <w:br w:type="page"/>
      </w:r>
    </w:p>
    <w:p w:rsidR="000C2B83" w:rsidRDefault="000C2B83" w:rsidP="006D6B8D">
      <w:pPr>
        <w:pStyle w:val="Textbody"/>
        <w:spacing w:after="12pt" w:line="18pt" w:lineRule="auto"/>
        <w:jc w:val="both"/>
        <w:rPr>
          <w:sz w:val="28"/>
          <w:szCs w:val="28"/>
          <w:lang w:val="en-US"/>
        </w:rPr>
      </w:pPr>
      <w:r w:rsidRPr="006D6B8D">
        <w:rPr>
          <w:sz w:val="28"/>
          <w:szCs w:val="28"/>
          <w:lang w:val="en-US"/>
        </w:rPr>
        <w:lastRenderedPageBreak/>
        <w:t xml:space="preserve">As far as theological questions are concerned, the actuality of </w:t>
      </w:r>
      <w:r w:rsidRPr="00F23B4E">
        <w:rPr>
          <w:i/>
          <w:sz w:val="28"/>
          <w:szCs w:val="28"/>
          <w:lang w:val="en-US"/>
        </w:rPr>
        <w:t>infinitum secundum quid</w:t>
      </w:r>
      <w:r w:rsidRPr="006D6B8D">
        <w:rPr>
          <w:sz w:val="28"/>
          <w:szCs w:val="28"/>
          <w:lang w:val="en-US"/>
        </w:rPr>
        <w:t xml:space="preserve"> solves Josef Pospíšil unclearly. He denies the current infinity of any gift that one could receive. We particularly mention the issue of the grace and merits of Christ. The Chalcedonian dogmatic definition of the authenticity of humanity and the divinity of Jesus Christ raises the question how God as infinite being may have united with a man whose existence is multilaterally limited. In particular, the causative and effective understanding of the infinite grace of Christ as a man and his merits in redeeming mankind says that these merits are infinite, sufficient for any number of redeemed people, even though the sacrifice of Christ proceeded only once and applies for all time. According to Pospíšil (and also according to the scholastic tradition) this grace and merit are essentially finite, for they belong to Christ as man, and man is finite, limited. Pospíšil also denies the infinity of the qualities of this grace and merits, for "the finite being cannot have infinite qualities" as he often says. Then it is unclear that through the redemption of man's gained participation on God, he speaks about an infinite dignity of a redeemed man. We consider it as a deficiency here that Pospíšil did not consider the </w:t>
      </w:r>
      <w:r w:rsidRPr="00F23B4E">
        <w:rPr>
          <w:i/>
          <w:sz w:val="28"/>
          <w:szCs w:val="28"/>
          <w:lang w:val="en-US"/>
        </w:rPr>
        <w:t>infinitum secundum quid</w:t>
      </w:r>
      <w:r w:rsidRPr="006D6B8D">
        <w:rPr>
          <w:sz w:val="28"/>
          <w:szCs w:val="28"/>
          <w:lang w:val="en-US"/>
        </w:rPr>
        <w:t xml:space="preserve"> in the current sense in this regard, which would noticeably clarify the interpretation of the infinity of Christ's grace and the question of human's participation on God as a participation of finite being on an infinite one. Pospíšil further explains that the treasure of Christ's graces is infinite only in a potential sense, that it is always possible to draw on it without being exhausted, but at the moment this treasure is always finite. Similarly, he regards the intensity of the grace of Christ-man in the sense of subjective acceptation of the gift:  that this grace may be only as big as it is possible for a human essence as the subject of this grace. He also considers this grace to be infinite from the point of view of its highest measure, that Christ is only the first among men in grace, not that this grace is without </w:t>
      </w:r>
      <w:r w:rsidRPr="006D6B8D">
        <w:rPr>
          <w:sz w:val="28"/>
          <w:szCs w:val="28"/>
          <w:lang w:val="en-US"/>
        </w:rPr>
        <w:lastRenderedPageBreak/>
        <w:t>limits. By such interpretation of the infinite grace of Christ Pospíšil turns this discussion in a slightly different direction.</w:t>
      </w:r>
    </w:p>
    <w:p w:rsidR="006D6B8D" w:rsidRDefault="000C2B83" w:rsidP="006D6B8D">
      <w:pPr>
        <w:pStyle w:val="Textbody"/>
        <w:spacing w:after="12pt" w:line="18pt" w:lineRule="auto"/>
        <w:jc w:val="both"/>
        <w:rPr>
          <w:sz w:val="28"/>
          <w:szCs w:val="28"/>
          <w:lang w:val="en-US"/>
        </w:rPr>
      </w:pPr>
      <w:r w:rsidRPr="006D6B8D">
        <w:rPr>
          <w:sz w:val="28"/>
          <w:szCs w:val="28"/>
          <w:lang w:val="en-US"/>
        </w:rPr>
        <w:t xml:space="preserve">In the interpretation of Christ's satisfaction for sins, Pospíšil distinguishes according to the theological tradition between the </w:t>
      </w:r>
      <w:r w:rsidRPr="00F23B4E">
        <w:rPr>
          <w:i/>
          <w:sz w:val="28"/>
          <w:szCs w:val="28"/>
          <w:lang w:val="en-US"/>
        </w:rPr>
        <w:t>satisfactio in actu primo</w:t>
      </w:r>
      <w:r w:rsidRPr="006D6B8D">
        <w:rPr>
          <w:sz w:val="28"/>
          <w:szCs w:val="28"/>
          <w:lang w:val="en-US"/>
        </w:rPr>
        <w:t xml:space="preserve">, which consists in sacrifice on the cross, and </w:t>
      </w:r>
      <w:r w:rsidRPr="00F23B4E">
        <w:rPr>
          <w:i/>
          <w:sz w:val="28"/>
          <w:szCs w:val="28"/>
          <w:lang w:val="en-US"/>
        </w:rPr>
        <w:t>satisfactio in actu secundo</w:t>
      </w:r>
      <w:r w:rsidRPr="006D6B8D">
        <w:rPr>
          <w:sz w:val="28"/>
          <w:szCs w:val="28"/>
          <w:lang w:val="en-US"/>
        </w:rPr>
        <w:t xml:space="preserve">, which consists in applying the grace of justification resulting from this satisfaction to individual repentant sinners. It is noteworthy that he considers the </w:t>
      </w:r>
      <w:r w:rsidRPr="00F23B4E">
        <w:rPr>
          <w:i/>
          <w:sz w:val="28"/>
          <w:szCs w:val="28"/>
          <w:lang w:val="en-US"/>
        </w:rPr>
        <w:t>satisfactio in actu primo</w:t>
      </w:r>
      <w:r w:rsidRPr="006D6B8D">
        <w:rPr>
          <w:sz w:val="28"/>
          <w:szCs w:val="28"/>
          <w:lang w:val="en-US"/>
        </w:rPr>
        <w:t xml:space="preserve"> done by the Divine Person of Christ to be infinite simpliciter et absolute, even though it was done through the ultimate human nature. We are afraid that in this regard, Pospíšil is too drawn to the theology of his time to apply infinite inherent to God also on a finite human nature, which Christ has voluntarily accepted. This is also evident in the question of Christ's infinite human knowledge, which, because of its limitlessness, seems to be an obstacle to credibility (</w:t>
      </w:r>
      <w:r w:rsidRPr="00F23B4E">
        <w:rPr>
          <w:i/>
          <w:sz w:val="28"/>
          <w:szCs w:val="28"/>
          <w:lang w:val="en-US"/>
        </w:rPr>
        <w:t>credibilitas</w:t>
      </w:r>
      <w:r w:rsidRPr="006D6B8D">
        <w:rPr>
          <w:sz w:val="28"/>
          <w:szCs w:val="28"/>
          <w:lang w:val="en-US"/>
        </w:rPr>
        <w:t xml:space="preserve">) and, for many, the reason that "such Christ" cannot be truly followed, and that his being a man does not seem to be real, but only as apparent. This attribution of infinity can be problematic for the evangelizing in the world. But on the other hand Pospíšil shows another aspect of infinity that should lead man to the recognition of God, and it is the almost infinite variety of creation, which, while showing the limitations of the created, also shows the infinite wisdom and omnipotence of the Creator. The created indefinite should thus point to the divine </w:t>
      </w:r>
      <w:r w:rsidRPr="00F23B4E">
        <w:rPr>
          <w:i/>
          <w:sz w:val="28"/>
          <w:szCs w:val="28"/>
          <w:lang w:val="en-US"/>
        </w:rPr>
        <w:t>infinitum simpliciter</w:t>
      </w:r>
      <w:r w:rsidRPr="006D6B8D">
        <w:rPr>
          <w:sz w:val="28"/>
          <w:szCs w:val="28"/>
          <w:lang w:val="en-US"/>
        </w:rPr>
        <w:t>.</w:t>
      </w:r>
    </w:p>
    <w:p w:rsidR="006D6B8D" w:rsidRDefault="006D6B8D" w:rsidP="006D6B8D">
      <w:pPr>
        <w:jc w:val="both"/>
        <w:rPr>
          <w:sz w:val="28"/>
          <w:szCs w:val="28"/>
          <w:lang w:val="en-US"/>
        </w:rPr>
      </w:pPr>
      <w:r>
        <w:rPr>
          <w:sz w:val="28"/>
          <w:szCs w:val="28"/>
          <w:lang w:val="en-US"/>
        </w:rPr>
        <w:br w:type="page"/>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lastRenderedPageBreak/>
        <w:t>II.</w:t>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t>The second theme in which Pospíšil differs considerably from the scholastic tradition especially of the Dominican school is the question of God's interaction and human freedom. Whether human freedom is real or fiction is also a constant question of philosophy. Aristotle considers man to be free only when he is the master of his actions. One either acts according to passion and follows a kind of apparent good, or according to reason and follows the real good. A rational decision requires a proper understanding of the goal, which gives the will to long for it. According to Aristotle, freedom is also associated with responsibility for the acts done. It is the imputability of deeds to man that is the basis of the philosophy of law. Neither passion, nor anger nor culpable ignorance excuses this responsibility.</w:t>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t>It is quite difficult to trace the original opinion of Thomas Aquinas in this question, when supporters of physical premotion from the Dominican school and also supporters of Molinism referred to him. But it can be said that in Thomas it is possible to find unambiguous confirmation of human responsibility for his actions and a more precise elaboration of Aristotle's four kinds of causes, where the final cause is presented as the goal and good to which the will is directed. It is important to know whether it is the real good (</w:t>
      </w:r>
      <w:r w:rsidRPr="001B4402">
        <w:rPr>
          <w:i/>
          <w:sz w:val="28"/>
          <w:szCs w:val="28"/>
          <w:lang w:val="en-US"/>
        </w:rPr>
        <w:t>bonum verum</w:t>
      </w:r>
      <w:r w:rsidRPr="006D6B8D">
        <w:rPr>
          <w:sz w:val="28"/>
          <w:szCs w:val="28"/>
          <w:lang w:val="en-US"/>
        </w:rPr>
        <w:t>) or the good only apparent (</w:t>
      </w:r>
      <w:r w:rsidRPr="001B4402">
        <w:rPr>
          <w:i/>
          <w:sz w:val="28"/>
          <w:szCs w:val="28"/>
          <w:lang w:val="en-US"/>
        </w:rPr>
        <w:t>bonum apparens</w:t>
      </w:r>
      <w:r w:rsidRPr="006D6B8D">
        <w:rPr>
          <w:sz w:val="28"/>
          <w:szCs w:val="28"/>
          <w:lang w:val="en-US"/>
        </w:rPr>
        <w:t>). The imperfect knowledge of good then results in the imperfection of human decision-making and deeds, and generally of the question of evil. Although God is the universal cause, and by their being and activity all beings participate in him, evil participates on him only in its existence, but not in the lack (privation) that is the cause of evil itself. Thus the deficiencies of human behavior rest on the will of man and are attributable to man.</w:t>
      </w:r>
    </w:p>
    <w:p w:rsidR="001B4402" w:rsidRDefault="000C2B83" w:rsidP="006D6B8D">
      <w:pPr>
        <w:pStyle w:val="Textbody"/>
        <w:spacing w:after="12pt" w:line="18pt" w:lineRule="auto"/>
        <w:jc w:val="both"/>
        <w:rPr>
          <w:sz w:val="28"/>
          <w:szCs w:val="28"/>
          <w:lang w:val="en-US"/>
        </w:rPr>
      </w:pPr>
      <w:r w:rsidRPr="006D6B8D">
        <w:rPr>
          <w:sz w:val="28"/>
          <w:szCs w:val="28"/>
          <w:lang w:val="en-US"/>
        </w:rPr>
        <w:lastRenderedPageBreak/>
        <w:t>In the question of God's cooperation and human freedom Pospíšil seems to continue in the controversy between Dominicans' Thomism and Molinism when dealing with the concept of physical premotion (</w:t>
      </w:r>
      <w:r w:rsidRPr="001B4402">
        <w:rPr>
          <w:i/>
          <w:sz w:val="28"/>
          <w:szCs w:val="28"/>
          <w:lang w:val="en-US"/>
        </w:rPr>
        <w:t>praemotio physica</w:t>
      </w:r>
      <w:r w:rsidRPr="006D6B8D">
        <w:rPr>
          <w:sz w:val="28"/>
          <w:szCs w:val="28"/>
          <w:lang w:val="en-US"/>
        </w:rPr>
        <w:t xml:space="preserve">). We need to know, what is then the physical premotion in its most authentic </w:t>
      </w:r>
      <w:r w:rsidR="001B4402">
        <w:rPr>
          <w:sz w:val="28"/>
          <w:szCs w:val="28"/>
          <w:lang w:val="en-US"/>
        </w:rPr>
        <w:t>T</w:t>
      </w:r>
      <w:r w:rsidRPr="006D6B8D">
        <w:rPr>
          <w:sz w:val="28"/>
          <w:szCs w:val="28"/>
          <w:lang w:val="en-US"/>
        </w:rPr>
        <w:t>homistic description, in order to expose this concept to meaningful criticism and confrontation with Pospíšil's interpretation.</w:t>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t xml:space="preserve">Freedom is, in the </w:t>
      </w:r>
      <w:r w:rsidR="001B4402">
        <w:rPr>
          <w:sz w:val="28"/>
          <w:szCs w:val="28"/>
          <w:lang w:val="en-US"/>
        </w:rPr>
        <w:t>T</w:t>
      </w:r>
      <w:r w:rsidRPr="006D6B8D">
        <w:rPr>
          <w:sz w:val="28"/>
          <w:szCs w:val="28"/>
          <w:lang w:val="en-US"/>
        </w:rPr>
        <w:t>homist view, the absence of external coercion and internal coercion by the own nature. Unless the will is decided in one way or another, it is indifferent to both contradictional decisions or open to all specificative decisions. The indifference of the will is either active, which is the place for the act of decision, and passive, that the will may be disposed to the decision in order to agree with it. Physical premotion is God's activity that moves the passive indifference of the will at the moment of the decision itself. The decision remains free as long as the active indifference of the will r</w:t>
      </w:r>
      <w:r w:rsidR="001B4402">
        <w:rPr>
          <w:sz w:val="28"/>
          <w:szCs w:val="28"/>
          <w:lang w:val="en-US"/>
        </w:rPr>
        <w:t>emains intact. The prefix "</w:t>
      </w:r>
      <w:r w:rsidR="001B4402" w:rsidRPr="001B4402">
        <w:rPr>
          <w:i/>
          <w:sz w:val="28"/>
          <w:szCs w:val="28"/>
          <w:lang w:val="en-US"/>
        </w:rPr>
        <w:t>prae</w:t>
      </w:r>
      <w:r w:rsidRPr="006D6B8D">
        <w:rPr>
          <w:sz w:val="28"/>
          <w:szCs w:val="28"/>
          <w:lang w:val="en-US"/>
        </w:rPr>
        <w:t xml:space="preserve">" in this sense does not mean temporal precedence, but causal. If God gives physical premotion to every decision, this underlines his role as a general cause. Related to this is the question of responsibility for evil, where the </w:t>
      </w:r>
      <w:r w:rsidR="001B4402">
        <w:rPr>
          <w:sz w:val="28"/>
          <w:szCs w:val="28"/>
          <w:lang w:val="en-US"/>
        </w:rPr>
        <w:t>T</w:t>
      </w:r>
      <w:r w:rsidRPr="006D6B8D">
        <w:rPr>
          <w:sz w:val="28"/>
          <w:szCs w:val="28"/>
          <w:lang w:val="en-US"/>
        </w:rPr>
        <w:t>homists say that although God is the cause of an evil deed in the sense of its existence, he is not a cause of its form that makes the deed evil.</w:t>
      </w:r>
    </w:p>
    <w:p w:rsidR="00480641" w:rsidRDefault="000C2B83" w:rsidP="006D6B8D">
      <w:pPr>
        <w:pStyle w:val="Textbody"/>
        <w:spacing w:after="12pt" w:line="18pt" w:lineRule="auto"/>
        <w:jc w:val="both"/>
        <w:rPr>
          <w:sz w:val="28"/>
          <w:szCs w:val="28"/>
          <w:lang w:val="en-US"/>
        </w:rPr>
      </w:pPr>
      <w:r w:rsidRPr="006D6B8D">
        <w:rPr>
          <w:sz w:val="28"/>
          <w:szCs w:val="28"/>
          <w:lang w:val="en-US"/>
        </w:rPr>
        <w:t>The consequences of adopting a concept of physical premotio</w:t>
      </w:r>
      <w:r w:rsidR="001B4402">
        <w:rPr>
          <w:sz w:val="28"/>
          <w:szCs w:val="28"/>
          <w:lang w:val="en-US"/>
        </w:rPr>
        <w:t>n</w:t>
      </w:r>
      <w:r w:rsidRPr="006D6B8D">
        <w:rPr>
          <w:sz w:val="28"/>
          <w:szCs w:val="28"/>
          <w:lang w:val="en-US"/>
        </w:rPr>
        <w:t xml:space="preserve"> is a more simple explaining of events of the salvation history, where God has an infl</w:t>
      </w:r>
      <w:r w:rsidR="001B4402">
        <w:rPr>
          <w:sz w:val="28"/>
          <w:szCs w:val="28"/>
          <w:lang w:val="en-US"/>
        </w:rPr>
        <w:t>uence on a </w:t>
      </w:r>
      <w:r w:rsidRPr="006D6B8D">
        <w:rPr>
          <w:sz w:val="28"/>
          <w:szCs w:val="28"/>
          <w:lang w:val="en-US"/>
        </w:rPr>
        <w:t xml:space="preserve">conversion of a person which was expected act absolutely different, such as in the case of the conversion of the Apostle Paul or the thief on the right. Molinists have difficulties to explain these cases and have to adopt some way of premotion. Also the explanation of good works according to </w:t>
      </w:r>
      <w:r w:rsidR="001B4402">
        <w:rPr>
          <w:sz w:val="28"/>
          <w:szCs w:val="28"/>
          <w:lang w:val="en-US"/>
        </w:rPr>
        <w:t>T</w:t>
      </w:r>
      <w:r w:rsidRPr="006D6B8D">
        <w:rPr>
          <w:sz w:val="28"/>
          <w:szCs w:val="28"/>
          <w:lang w:val="en-US"/>
        </w:rPr>
        <w:t xml:space="preserve">homists is so be seen from another point of view: Man is not good, because he made good </w:t>
      </w:r>
      <w:r w:rsidRPr="006D6B8D">
        <w:rPr>
          <w:sz w:val="28"/>
          <w:szCs w:val="28"/>
          <w:lang w:val="en-US"/>
        </w:rPr>
        <w:lastRenderedPageBreak/>
        <w:t>works, but he is or will be good, because he is capacitated by the physical premotion to the good works. Similarly the man does not do good works and therefore he is saved, but he is predetermined to salvation and therefore he receives also a physical premotion to do good meritorial works. So is God introduced as directing absolutely everything (</w:t>
      </w:r>
      <w:r w:rsidRPr="00480641">
        <w:rPr>
          <w:i/>
          <w:sz w:val="28"/>
          <w:szCs w:val="28"/>
          <w:lang w:val="en-US"/>
        </w:rPr>
        <w:t>fortiter suaviterque disponens omnia</w:t>
      </w:r>
      <w:r w:rsidRPr="006D6B8D">
        <w:rPr>
          <w:sz w:val="28"/>
          <w:szCs w:val="28"/>
          <w:lang w:val="en-US"/>
        </w:rPr>
        <w:t>), but human freedom then appears to be effectively overshadowed.</w:t>
      </w:r>
    </w:p>
    <w:p w:rsidR="00480641" w:rsidRDefault="000C2B83" w:rsidP="006D6B8D">
      <w:pPr>
        <w:pStyle w:val="Textbody"/>
        <w:spacing w:after="12pt" w:line="18pt" w:lineRule="auto"/>
        <w:jc w:val="both"/>
        <w:rPr>
          <w:sz w:val="28"/>
          <w:szCs w:val="28"/>
          <w:lang w:val="en-US"/>
        </w:rPr>
      </w:pPr>
      <w:r w:rsidRPr="006D6B8D">
        <w:rPr>
          <w:sz w:val="28"/>
          <w:szCs w:val="28"/>
          <w:lang w:val="en-US"/>
        </w:rPr>
        <w:t>Molinists say against the physical premotion that it negates the human freedom when, at the time of decision making, logically or temporally, the decision was already imposed by premotion. Therefore, it was necessary to elaborate how it is possible that God works in all acts as a general cause without predeterminating them by physical premotion. How will God recognize in which specification of act should he cooperate, when he is not giving the specification by premotion? Therefore, according to Molinists, God recognizes future contingencies (</w:t>
      </w:r>
      <w:r w:rsidRPr="00480641">
        <w:rPr>
          <w:i/>
          <w:sz w:val="28"/>
          <w:szCs w:val="28"/>
          <w:lang w:val="en-US"/>
        </w:rPr>
        <w:t>futurabilia</w:t>
      </w:r>
      <w:r w:rsidRPr="006D6B8D">
        <w:rPr>
          <w:sz w:val="28"/>
          <w:szCs w:val="28"/>
          <w:lang w:val="en-US"/>
        </w:rPr>
        <w:t>) through the middle knowledge (</w:t>
      </w:r>
      <w:r w:rsidRPr="00480641">
        <w:rPr>
          <w:i/>
          <w:sz w:val="28"/>
          <w:szCs w:val="28"/>
          <w:lang w:val="en-US"/>
        </w:rPr>
        <w:t>scientia media</w:t>
      </w:r>
      <w:r w:rsidRPr="006D6B8D">
        <w:rPr>
          <w:sz w:val="28"/>
          <w:szCs w:val="28"/>
          <w:lang w:val="en-US"/>
        </w:rPr>
        <w:t>), which is neither the knowledge of simple insight (</w:t>
      </w:r>
      <w:r w:rsidRPr="00480641">
        <w:rPr>
          <w:i/>
          <w:sz w:val="28"/>
          <w:szCs w:val="28"/>
          <w:lang w:val="en-US"/>
        </w:rPr>
        <w:t>scientia simplicis intelligentiae</w:t>
      </w:r>
      <w:r w:rsidRPr="006D6B8D">
        <w:rPr>
          <w:sz w:val="28"/>
          <w:szCs w:val="28"/>
          <w:lang w:val="en-US"/>
        </w:rPr>
        <w:t>) nor a vision of his own decrees (</w:t>
      </w:r>
      <w:r w:rsidRPr="00480641">
        <w:rPr>
          <w:i/>
          <w:sz w:val="28"/>
          <w:szCs w:val="28"/>
          <w:lang w:val="en-US"/>
        </w:rPr>
        <w:t>scientia visionis</w:t>
      </w:r>
      <w:r w:rsidRPr="006D6B8D">
        <w:rPr>
          <w:sz w:val="28"/>
          <w:szCs w:val="28"/>
          <w:lang w:val="en-US"/>
        </w:rPr>
        <w:t>). So God offers a cooperation (</w:t>
      </w:r>
      <w:r w:rsidRPr="00480641">
        <w:rPr>
          <w:i/>
          <w:sz w:val="28"/>
          <w:szCs w:val="28"/>
          <w:lang w:val="en-US"/>
        </w:rPr>
        <w:t>concursus oblatus</w:t>
      </w:r>
      <w:r w:rsidRPr="006D6B8D">
        <w:rPr>
          <w:sz w:val="28"/>
          <w:szCs w:val="28"/>
          <w:lang w:val="en-US"/>
        </w:rPr>
        <w:t>), which is not determinating the decision and even forces to act somehow, but once a man decides to act so, it becomes a cooperation enabling the action itself (</w:t>
      </w:r>
      <w:r w:rsidRPr="00480641">
        <w:rPr>
          <w:i/>
          <w:sz w:val="28"/>
          <w:szCs w:val="28"/>
          <w:lang w:val="en-US"/>
        </w:rPr>
        <w:t>concursus collatus</w:t>
      </w:r>
      <w:r w:rsidRPr="006D6B8D">
        <w:rPr>
          <w:sz w:val="28"/>
          <w:szCs w:val="28"/>
          <w:lang w:val="en-US"/>
        </w:rPr>
        <w:t>). From the theological point of view, it appears to be pragmatically practical in motivation to good works, when it is also possible for the God given preventing grace (</w:t>
      </w:r>
      <w:r w:rsidRPr="00480641">
        <w:rPr>
          <w:i/>
          <w:sz w:val="28"/>
          <w:szCs w:val="28"/>
          <w:lang w:val="en-US"/>
        </w:rPr>
        <w:t>gratia praeveniens</w:t>
      </w:r>
      <w:r w:rsidRPr="006D6B8D">
        <w:rPr>
          <w:sz w:val="28"/>
          <w:szCs w:val="28"/>
          <w:lang w:val="en-US"/>
        </w:rPr>
        <w:t>) with the free consent of a man to become an efficient grace (</w:t>
      </w:r>
      <w:r w:rsidRPr="00480641">
        <w:rPr>
          <w:i/>
          <w:sz w:val="28"/>
          <w:szCs w:val="28"/>
          <w:lang w:val="en-US"/>
        </w:rPr>
        <w:t>gratia efficax</w:t>
      </w:r>
      <w:r w:rsidRPr="006D6B8D">
        <w:rPr>
          <w:sz w:val="28"/>
          <w:szCs w:val="28"/>
          <w:lang w:val="en-US"/>
        </w:rPr>
        <w:t xml:space="preserve">). Very often, one realizes that the preventing grace is a "chance", which one can use or not, but he is responsible, how he decides. According to this description, the concept of simultaneous concourse is morally more motivating to do good works than the predeterminating scheme of physical premotion. Thomist opposes Molinists that they attribute passivity to God in this way, that </w:t>
      </w:r>
      <w:r w:rsidRPr="006D6B8D">
        <w:rPr>
          <w:sz w:val="28"/>
          <w:szCs w:val="28"/>
          <w:lang w:val="en-US"/>
        </w:rPr>
        <w:lastRenderedPageBreak/>
        <w:t>they make God dependent on creatures, when he has to cooperate as they will.</w:t>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t>Josef Pospíšil is inclined in his work to reject physical premotion referring that eve</w:t>
      </w:r>
      <w:r w:rsidR="00480641">
        <w:rPr>
          <w:sz w:val="28"/>
          <w:szCs w:val="28"/>
          <w:lang w:val="en-US"/>
        </w:rPr>
        <w:t>n</w:t>
      </w:r>
      <w:r w:rsidRPr="006D6B8D">
        <w:rPr>
          <w:sz w:val="28"/>
          <w:szCs w:val="28"/>
          <w:lang w:val="en-US"/>
        </w:rPr>
        <w:t xml:space="preserve"> many important thinkers in the Middle Ages and later up to his time rejected it as well. But he is aware that the question of the relationship between God's omnipotence and human freedom is a mystery, when neither of them may be denied in human action. The understanding of the man as a passive instrument of higher forces leeds to denying human freedom and to pantheism. On the other hand the denying of God's cooperation in every being and in every act would deny God's omnipotence. The fact that Pospíšil inclined to the Molinist solution and refused physical premotion is evident from the titles of chapters in his works and from the fact that he draws in large parts from the Molinism incl</w:t>
      </w:r>
      <w:r w:rsidR="00480641">
        <w:rPr>
          <w:sz w:val="28"/>
          <w:szCs w:val="28"/>
          <w:lang w:val="en-US"/>
        </w:rPr>
        <w:t>ined Michele D</w:t>
      </w:r>
      <w:r w:rsidRPr="006D6B8D">
        <w:rPr>
          <w:sz w:val="28"/>
          <w:szCs w:val="28"/>
          <w:lang w:val="en-US"/>
        </w:rPr>
        <w:t>e Maria S.J.</w:t>
      </w:r>
    </w:p>
    <w:p w:rsidR="00834CE7" w:rsidRDefault="000C2B83" w:rsidP="006D6B8D">
      <w:pPr>
        <w:pStyle w:val="Textbody"/>
        <w:spacing w:after="12pt" w:line="18pt" w:lineRule="auto"/>
        <w:jc w:val="both"/>
        <w:rPr>
          <w:sz w:val="28"/>
          <w:szCs w:val="28"/>
          <w:lang w:val="en-US"/>
        </w:rPr>
      </w:pPr>
      <w:r w:rsidRPr="006D6B8D">
        <w:rPr>
          <w:sz w:val="28"/>
          <w:szCs w:val="28"/>
          <w:lang w:val="en-US"/>
        </w:rPr>
        <w:t>In the question of God's causality in the activities of</w:t>
      </w:r>
      <w:r w:rsidR="00480641">
        <w:rPr>
          <w:sz w:val="28"/>
          <w:szCs w:val="28"/>
          <w:lang w:val="en-US"/>
        </w:rPr>
        <w:t xml:space="preserve"> the created free beings, Pospíš</w:t>
      </w:r>
      <w:r w:rsidRPr="006D6B8D">
        <w:rPr>
          <w:sz w:val="28"/>
          <w:szCs w:val="28"/>
          <w:lang w:val="en-US"/>
        </w:rPr>
        <w:t>il's description is unclear</w:t>
      </w:r>
      <w:r w:rsidR="00E63023">
        <w:rPr>
          <w:sz w:val="28"/>
          <w:szCs w:val="28"/>
          <w:lang w:val="en-US"/>
        </w:rPr>
        <w:t>.</w:t>
      </w:r>
      <w:r w:rsidRPr="006D6B8D">
        <w:rPr>
          <w:sz w:val="28"/>
          <w:szCs w:val="28"/>
          <w:lang w:val="en-US"/>
        </w:rPr>
        <w:t xml:space="preserve"> </w:t>
      </w:r>
      <w:r w:rsidR="00E63023">
        <w:rPr>
          <w:sz w:val="28"/>
          <w:szCs w:val="28"/>
          <w:lang w:val="en-US"/>
        </w:rPr>
        <w:t>O</w:t>
      </w:r>
      <w:r w:rsidRPr="006D6B8D">
        <w:rPr>
          <w:sz w:val="28"/>
          <w:szCs w:val="28"/>
          <w:lang w:val="en-US"/>
        </w:rPr>
        <w:t>n the one hand, he insists on God's immediate involvement in any activity and thus points out that it is not possible to this cooperation to have a premotion as a medium part be</w:t>
      </w:r>
      <w:r w:rsidR="00480641">
        <w:rPr>
          <w:sz w:val="28"/>
          <w:szCs w:val="28"/>
          <w:lang w:val="en-US"/>
        </w:rPr>
        <w:t xml:space="preserve">tween God and </w:t>
      </w:r>
      <w:r w:rsidR="00E63023">
        <w:rPr>
          <w:sz w:val="28"/>
          <w:szCs w:val="28"/>
          <w:lang w:val="en-US"/>
        </w:rPr>
        <w:t>the action itself. O</w:t>
      </w:r>
      <w:r w:rsidRPr="006D6B8D">
        <w:rPr>
          <w:sz w:val="28"/>
          <w:szCs w:val="28"/>
          <w:lang w:val="en-US"/>
        </w:rPr>
        <w:t>n the other hand it seems God's cooperation to be a mere bearing of the existence of all things, while the quality of decision-making is fully in the hands of the free created actors, thereby is lost the possibility of God's interference in the course of the world and in this way Pospíšil indirectly denies God's omnipotence. Pospíšil wants to preserve God's action in all activities, but he does not seem to consider the possibility of affecting a particular person in order to move to or prevent it. Such a reasoning of God's interaction would be adequate from the point of view of deism, which would regard God only as an effective cause of the world.</w:t>
      </w:r>
    </w:p>
    <w:p w:rsidR="00834CE7" w:rsidRDefault="00834CE7">
      <w:pPr>
        <w:rPr>
          <w:sz w:val="28"/>
          <w:szCs w:val="28"/>
          <w:lang w:val="en-US"/>
        </w:rPr>
      </w:pPr>
      <w:r>
        <w:rPr>
          <w:sz w:val="28"/>
          <w:szCs w:val="28"/>
          <w:lang w:val="en-US"/>
        </w:rPr>
        <w:br w:type="page"/>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lastRenderedPageBreak/>
        <w:t xml:space="preserve">Pospíšil understands the doctrine </w:t>
      </w:r>
      <w:r w:rsidRPr="00E63023">
        <w:rPr>
          <w:i/>
          <w:sz w:val="28"/>
          <w:szCs w:val="28"/>
          <w:lang w:val="en-US"/>
        </w:rPr>
        <w:t>de concursu divino</w:t>
      </w:r>
      <w:r w:rsidRPr="006D6B8D">
        <w:rPr>
          <w:sz w:val="28"/>
          <w:szCs w:val="28"/>
          <w:lang w:val="en-US"/>
        </w:rPr>
        <w:t xml:space="preserve"> as composed of two stages. The first is that, according to him, most Catholic philosophers and theologians agree that God's participation is evident in every activity. The second stage is then the way in which actors move from potentiality to carrying out their activities, whether by physical premotion or otherwise. The reference to the work of J. B. Gonet is used for the definition of physical premotion, but this reference is not correct, as it does not correspond to the quoted work. Rather, we see in the way of quotation a similarity with the expression of F. Egger and H. Hurter, whose works Pospíšil used quite a lot.</w:t>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t xml:space="preserve">In our opinion, it is further unclear whether Pospíšil understood physical premotion as a temporally preceding the decision or logically. The semantical word meaning </w:t>
      </w:r>
      <w:r w:rsidRPr="00E63023">
        <w:rPr>
          <w:i/>
          <w:sz w:val="28"/>
          <w:szCs w:val="28"/>
          <w:lang w:val="en-US"/>
        </w:rPr>
        <w:t>prae-motio</w:t>
      </w:r>
      <w:r w:rsidRPr="006D6B8D">
        <w:rPr>
          <w:sz w:val="28"/>
          <w:szCs w:val="28"/>
          <w:lang w:val="en-US"/>
        </w:rPr>
        <w:t xml:space="preserve"> makes it possible to understand it in ways in contrast to simultaneous concourse, which in its verbal meaning precludes temporal precedence. According to proponents of physical premotion it is strongly emphasized that this is a logically preceding and not temporally. If Pospíšil refused physical premotion as temporally preceding the decision, he thought, just like proponents of physical premotion. But at the same time, if it was just because he perceived physical premotion as a temporally preceding the decision and therefore he refused physical premotion as such, we regard it as inconsistency in his thought caused by an imperfect familiarity with the interpretation of the concept of physical premotion by its </w:t>
      </w:r>
      <w:r w:rsidR="00E63023">
        <w:rPr>
          <w:sz w:val="28"/>
          <w:szCs w:val="28"/>
          <w:lang w:val="en-US"/>
        </w:rPr>
        <w:t>T</w:t>
      </w:r>
      <w:r w:rsidRPr="006D6B8D">
        <w:rPr>
          <w:sz w:val="28"/>
          <w:szCs w:val="28"/>
          <w:lang w:val="en-US"/>
        </w:rPr>
        <w:t>homistic proponents.</w:t>
      </w:r>
      <w:r w:rsidRPr="006D6B8D">
        <w:rPr>
          <w:sz w:val="28"/>
          <w:szCs w:val="28"/>
          <w:lang w:val="en-US"/>
        </w:rPr>
        <w:br/>
        <w:t>As another misunderstanding in Pospíšil, we consider that it is not clear whether he perceived physical premotion as somet</w:t>
      </w:r>
      <w:r w:rsidR="00E63023">
        <w:rPr>
          <w:sz w:val="28"/>
          <w:szCs w:val="28"/>
          <w:lang w:val="en-US"/>
        </w:rPr>
        <w:t>hing acting from outside or, as T</w:t>
      </w:r>
      <w:r w:rsidRPr="006D6B8D">
        <w:rPr>
          <w:sz w:val="28"/>
          <w:szCs w:val="28"/>
          <w:lang w:val="en-US"/>
        </w:rPr>
        <w:t xml:space="preserve">homists </w:t>
      </w:r>
      <w:r w:rsidR="00E63023">
        <w:rPr>
          <w:sz w:val="28"/>
          <w:szCs w:val="28"/>
          <w:lang w:val="en-US"/>
        </w:rPr>
        <w:t xml:space="preserve">say, </w:t>
      </w:r>
      <w:r w:rsidRPr="006D6B8D">
        <w:rPr>
          <w:sz w:val="28"/>
          <w:szCs w:val="28"/>
          <w:lang w:val="en-US"/>
        </w:rPr>
        <w:t xml:space="preserve">as internally disposing power. We see the root of this problem in the fact that Pospíšil does not distinguish indifference into active and passive, and thus considers any influence on indifference to be violating the freedom. However, if we consider premotion as an internal disposing force acting on the </w:t>
      </w:r>
      <w:r w:rsidRPr="006D6B8D">
        <w:rPr>
          <w:sz w:val="28"/>
          <w:szCs w:val="28"/>
          <w:lang w:val="en-US"/>
        </w:rPr>
        <w:lastRenderedPageBreak/>
        <w:t>passive indifference of the will, it can be understood as an activity non restricting th</w:t>
      </w:r>
      <w:r w:rsidR="00E63023">
        <w:rPr>
          <w:sz w:val="28"/>
          <w:szCs w:val="28"/>
          <w:lang w:val="en-US"/>
        </w:rPr>
        <w:t>e</w:t>
      </w:r>
      <w:r w:rsidRPr="006D6B8D">
        <w:rPr>
          <w:sz w:val="28"/>
          <w:szCs w:val="28"/>
          <w:lang w:val="en-US"/>
        </w:rPr>
        <w:t xml:space="preserve"> freedom (belonging to the active indifference) and at the same time as an internal activity and not as forcing human from outside (</w:t>
      </w:r>
      <w:r w:rsidRPr="00E63023">
        <w:rPr>
          <w:i/>
          <w:sz w:val="28"/>
          <w:szCs w:val="28"/>
          <w:lang w:val="en-US"/>
        </w:rPr>
        <w:t>coactio</w:t>
      </w:r>
      <w:r w:rsidRPr="006D6B8D">
        <w:rPr>
          <w:sz w:val="28"/>
          <w:szCs w:val="28"/>
          <w:lang w:val="en-US"/>
        </w:rPr>
        <w:t>).</w:t>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t xml:space="preserve">Furthermore, in Pospíšil's work we see a sharp distinction between the necessary and contingent. The physical premotion is according to </w:t>
      </w:r>
      <w:r w:rsidR="00E63023">
        <w:rPr>
          <w:sz w:val="28"/>
          <w:szCs w:val="28"/>
          <w:lang w:val="en-US"/>
        </w:rPr>
        <w:t>T</w:t>
      </w:r>
      <w:r w:rsidRPr="006D6B8D">
        <w:rPr>
          <w:sz w:val="28"/>
          <w:szCs w:val="28"/>
          <w:lang w:val="en-US"/>
        </w:rPr>
        <w:t>homists neither necessary nor contingent, but is in the modality of infallibility (</w:t>
      </w:r>
      <w:r w:rsidRPr="00E63023">
        <w:rPr>
          <w:i/>
          <w:sz w:val="28"/>
          <w:szCs w:val="28"/>
          <w:lang w:val="en-US"/>
        </w:rPr>
        <w:t>infallibilitas</w:t>
      </w:r>
      <w:r w:rsidRPr="006D6B8D">
        <w:rPr>
          <w:sz w:val="28"/>
          <w:szCs w:val="28"/>
          <w:lang w:val="en-US"/>
        </w:rPr>
        <w:t xml:space="preserve">), which connects contingence and necessity in God's activity by </w:t>
      </w:r>
      <w:r w:rsidRPr="00E63023">
        <w:rPr>
          <w:i/>
          <w:sz w:val="28"/>
          <w:szCs w:val="28"/>
          <w:lang w:val="en-US"/>
        </w:rPr>
        <w:t xml:space="preserve">analogia entis </w:t>
      </w:r>
      <w:r w:rsidRPr="006D6B8D">
        <w:rPr>
          <w:sz w:val="28"/>
          <w:szCs w:val="28"/>
          <w:lang w:val="en-US"/>
        </w:rPr>
        <w:t xml:space="preserve">in an eminent form. From the point of view of God's knowledge, physical </w:t>
      </w:r>
      <w:r w:rsidR="00E63023">
        <w:rPr>
          <w:sz w:val="28"/>
          <w:szCs w:val="28"/>
          <w:lang w:val="en-US"/>
        </w:rPr>
        <w:t>premotion</w:t>
      </w:r>
      <w:r w:rsidRPr="006D6B8D">
        <w:rPr>
          <w:sz w:val="28"/>
          <w:szCs w:val="28"/>
          <w:lang w:val="en-US"/>
        </w:rPr>
        <w:t xml:space="preserve"> seems to be necessary, for God knows how will he work, while free decisions </w:t>
      </w:r>
      <w:r w:rsidR="00E63023">
        <w:rPr>
          <w:sz w:val="28"/>
          <w:szCs w:val="28"/>
          <w:lang w:val="en-US"/>
        </w:rPr>
        <w:t xml:space="preserve">seem to be </w:t>
      </w:r>
      <w:r w:rsidRPr="006D6B8D">
        <w:rPr>
          <w:sz w:val="28"/>
          <w:szCs w:val="28"/>
          <w:lang w:val="en-US"/>
        </w:rPr>
        <w:t xml:space="preserve">contingent for man, for he is not sure of their definitive quality in the future. The term infallibility is also present in the work of Thomas Aquinas. For Pospíšil, when he does not consider the modality of infallibility, appears the physical premotion to be necessarily acting, and therefore concludes that it is against the human freedom and rejects it. This conclusion is logically correct, but in our </w:t>
      </w:r>
      <w:r w:rsidR="00E63023" w:rsidRPr="006D6B8D">
        <w:rPr>
          <w:sz w:val="28"/>
          <w:szCs w:val="28"/>
          <w:lang w:val="en-US"/>
        </w:rPr>
        <w:t>opinion,</w:t>
      </w:r>
      <w:r w:rsidRPr="006D6B8D">
        <w:rPr>
          <w:sz w:val="28"/>
          <w:szCs w:val="28"/>
          <w:lang w:val="en-US"/>
        </w:rPr>
        <w:t xml:space="preserve"> it is based on an incorrect premise of the necessary effect of physical premotion.</w:t>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t xml:space="preserve">Opponents of physical premotion often misinterpret a </w:t>
      </w:r>
      <w:r w:rsidR="00E63023">
        <w:rPr>
          <w:sz w:val="28"/>
          <w:szCs w:val="28"/>
          <w:lang w:val="en-US"/>
        </w:rPr>
        <w:t>T</w:t>
      </w:r>
      <w:r w:rsidRPr="006D6B8D">
        <w:rPr>
          <w:sz w:val="28"/>
          <w:szCs w:val="28"/>
          <w:lang w:val="en-US"/>
        </w:rPr>
        <w:t>homistic argument of a composite and divided sense (</w:t>
      </w:r>
      <w:r w:rsidRPr="00E63023">
        <w:rPr>
          <w:i/>
          <w:sz w:val="28"/>
          <w:szCs w:val="28"/>
          <w:lang w:val="en-US"/>
        </w:rPr>
        <w:t>de sensu composito et diviso</w:t>
      </w:r>
      <w:r w:rsidRPr="006D6B8D">
        <w:rPr>
          <w:sz w:val="28"/>
          <w:szCs w:val="28"/>
          <w:lang w:val="en-US"/>
        </w:rPr>
        <w:t xml:space="preserve">). </w:t>
      </w:r>
      <w:r w:rsidRPr="00E63023">
        <w:rPr>
          <w:i/>
          <w:sz w:val="28"/>
          <w:szCs w:val="28"/>
          <w:lang w:val="en-US"/>
        </w:rPr>
        <w:t>In sensu composito</w:t>
      </w:r>
      <w:r w:rsidRPr="006D6B8D">
        <w:rPr>
          <w:sz w:val="28"/>
          <w:szCs w:val="28"/>
          <w:lang w:val="en-US"/>
        </w:rPr>
        <w:t xml:space="preserve">, proponents of physical premotion consider free decision-making, culminating in a decision under the influence of a certain physical graduation. Here it is not possible to make a decision other than the quality of physical premotion. </w:t>
      </w:r>
      <w:r w:rsidRPr="00BB0745">
        <w:rPr>
          <w:i/>
          <w:sz w:val="28"/>
          <w:szCs w:val="28"/>
          <w:lang w:val="en-US"/>
        </w:rPr>
        <w:t>In sensu diviso</w:t>
      </w:r>
      <w:r w:rsidRPr="006D6B8D">
        <w:rPr>
          <w:sz w:val="28"/>
          <w:szCs w:val="28"/>
          <w:lang w:val="en-US"/>
        </w:rPr>
        <w:t xml:space="preserve">, however, free decision-making does not coincide in time with certain physical premotion, so that it is possible to make a decision that contradicts physical premotion to an act in different time. Opponents of physical premotion, and among them Pospíšil, consider </w:t>
      </w:r>
      <w:r w:rsidRPr="00BB0745">
        <w:rPr>
          <w:i/>
          <w:sz w:val="28"/>
          <w:szCs w:val="28"/>
          <w:lang w:val="en-US"/>
        </w:rPr>
        <w:t>in sensu composito</w:t>
      </w:r>
      <w:r w:rsidRPr="006D6B8D">
        <w:rPr>
          <w:sz w:val="28"/>
          <w:szCs w:val="28"/>
          <w:lang w:val="en-US"/>
        </w:rPr>
        <w:t xml:space="preserve"> the will with premotion, while </w:t>
      </w:r>
      <w:r w:rsidRPr="00BB0745">
        <w:rPr>
          <w:i/>
          <w:sz w:val="28"/>
          <w:szCs w:val="28"/>
          <w:lang w:val="en-US"/>
        </w:rPr>
        <w:t>in sensu diviso</w:t>
      </w:r>
      <w:r w:rsidRPr="006D6B8D">
        <w:rPr>
          <w:sz w:val="28"/>
          <w:szCs w:val="28"/>
          <w:lang w:val="en-US"/>
        </w:rPr>
        <w:t xml:space="preserve"> the will is completely free of </w:t>
      </w:r>
      <w:r w:rsidRPr="006D6B8D">
        <w:rPr>
          <w:sz w:val="28"/>
          <w:szCs w:val="28"/>
          <w:lang w:val="en-US"/>
        </w:rPr>
        <w:lastRenderedPageBreak/>
        <w:t xml:space="preserve">premotion. This does not, however, correspond to the </w:t>
      </w:r>
      <w:r w:rsidR="00BB0745">
        <w:rPr>
          <w:sz w:val="28"/>
          <w:szCs w:val="28"/>
          <w:lang w:val="en-US"/>
        </w:rPr>
        <w:t>T</w:t>
      </w:r>
      <w:r w:rsidRPr="006D6B8D">
        <w:rPr>
          <w:sz w:val="28"/>
          <w:szCs w:val="28"/>
          <w:lang w:val="en-US"/>
        </w:rPr>
        <w:t>homistic concept, because for a different time than a certain physical premotion is given another physical premotion (whether qualitatively the same or another than the first), and therefore a decision at one time may be of a different quality than a decision at another time. Another difficulty is that Pospíšil understands the effect of physical premotion as a</w:t>
      </w:r>
      <w:r w:rsidR="00BB0745">
        <w:rPr>
          <w:sz w:val="28"/>
          <w:szCs w:val="28"/>
          <w:lang w:val="en-US"/>
        </w:rPr>
        <w:t> </w:t>
      </w:r>
      <w:r w:rsidRPr="006D6B8D">
        <w:rPr>
          <w:sz w:val="28"/>
          <w:szCs w:val="28"/>
          <w:lang w:val="en-US"/>
        </w:rPr>
        <w:t>temporal effect that forces the will to make a decision, and as long as this coercion persists, it is not possible to decide otherwise. However, we have stated above that the perception of physical premotion as temporal precedent a</w:t>
      </w:r>
      <w:r w:rsidR="00BB0745">
        <w:rPr>
          <w:sz w:val="28"/>
          <w:szCs w:val="28"/>
          <w:lang w:val="en-US"/>
        </w:rPr>
        <w:t>lso does not correspond to the T</w:t>
      </w:r>
      <w:r w:rsidRPr="006D6B8D">
        <w:rPr>
          <w:sz w:val="28"/>
          <w:szCs w:val="28"/>
          <w:lang w:val="en-US"/>
        </w:rPr>
        <w:t>homistic conception, because according to it</w:t>
      </w:r>
      <w:r w:rsidR="00BB0745">
        <w:rPr>
          <w:sz w:val="28"/>
          <w:szCs w:val="28"/>
          <w:lang w:val="en-US"/>
        </w:rPr>
        <w:t xml:space="preserve">, it </w:t>
      </w:r>
      <w:r w:rsidR="00BB0745" w:rsidRPr="006D6B8D">
        <w:rPr>
          <w:sz w:val="28"/>
          <w:szCs w:val="28"/>
          <w:lang w:val="en-US"/>
        </w:rPr>
        <w:t>prece</w:t>
      </w:r>
      <w:r w:rsidR="00BB0745">
        <w:rPr>
          <w:sz w:val="28"/>
          <w:szCs w:val="28"/>
          <w:lang w:val="en-US"/>
        </w:rPr>
        <w:t>des</w:t>
      </w:r>
      <w:r w:rsidRPr="006D6B8D">
        <w:rPr>
          <w:sz w:val="28"/>
          <w:szCs w:val="28"/>
          <w:lang w:val="en-US"/>
        </w:rPr>
        <w:t xml:space="preserve"> the decision only logically. We think that Pospíšil denies </w:t>
      </w:r>
      <w:r w:rsidR="00BB0745">
        <w:rPr>
          <w:sz w:val="28"/>
          <w:szCs w:val="28"/>
          <w:lang w:val="en-US"/>
        </w:rPr>
        <w:t>some</w:t>
      </w:r>
      <w:r w:rsidRPr="006D6B8D">
        <w:rPr>
          <w:sz w:val="28"/>
          <w:szCs w:val="28"/>
          <w:lang w:val="en-US"/>
        </w:rPr>
        <w:t xml:space="preserve">thing other than physical premotion with his argument </w:t>
      </w:r>
      <w:r w:rsidRPr="00BB0745">
        <w:rPr>
          <w:i/>
          <w:sz w:val="28"/>
          <w:szCs w:val="28"/>
          <w:lang w:val="en-US"/>
        </w:rPr>
        <w:t>de sensu composito et diviso</w:t>
      </w:r>
      <w:r w:rsidRPr="006D6B8D">
        <w:rPr>
          <w:sz w:val="28"/>
          <w:szCs w:val="28"/>
          <w:lang w:val="en-US"/>
        </w:rPr>
        <w:t xml:space="preserve">. Here are two more points: 1) that thinking about decision-making as a time-running process can be understood as experiencing freedom, which we can call experiencing the active indifference of human will before the certain act of decision at the time of decision, expressed as undetermined quality of decision. 2) that Pospíšil's temporal understanding of physical premotion in the </w:t>
      </w:r>
      <w:r w:rsidRPr="00BB0745">
        <w:rPr>
          <w:i/>
          <w:sz w:val="28"/>
          <w:szCs w:val="28"/>
          <w:lang w:val="en-US"/>
        </w:rPr>
        <w:t>de sensu composito et diviso</w:t>
      </w:r>
      <w:r w:rsidRPr="006D6B8D">
        <w:rPr>
          <w:sz w:val="28"/>
          <w:szCs w:val="28"/>
          <w:lang w:val="en-US"/>
        </w:rPr>
        <w:t xml:space="preserve"> argument shows a similarity to the understanding of continuity with the decision of the coinciding </w:t>
      </w:r>
      <w:r w:rsidRPr="00BB0745">
        <w:rPr>
          <w:i/>
          <w:sz w:val="28"/>
          <w:szCs w:val="28"/>
          <w:lang w:val="en-US"/>
        </w:rPr>
        <w:t>concursus collatus</w:t>
      </w:r>
      <w:r w:rsidRPr="006D6B8D">
        <w:rPr>
          <w:sz w:val="28"/>
          <w:szCs w:val="28"/>
          <w:lang w:val="en-US"/>
        </w:rPr>
        <w:t xml:space="preserve"> in a decision possibly culminating in the </w:t>
      </w:r>
      <w:r w:rsidRPr="00BB0745">
        <w:rPr>
          <w:i/>
          <w:sz w:val="28"/>
          <w:szCs w:val="28"/>
          <w:lang w:val="en-US"/>
        </w:rPr>
        <w:t>concursus oblatus</w:t>
      </w:r>
      <w:r w:rsidRPr="006D6B8D">
        <w:rPr>
          <w:sz w:val="28"/>
          <w:szCs w:val="28"/>
          <w:lang w:val="en-US"/>
        </w:rPr>
        <w:t xml:space="preserve">. However, because the culmination of the </w:t>
      </w:r>
      <w:r w:rsidRPr="00BB0745">
        <w:rPr>
          <w:i/>
          <w:sz w:val="28"/>
          <w:szCs w:val="28"/>
          <w:lang w:val="en-US"/>
        </w:rPr>
        <w:t>concursus oblatus</w:t>
      </w:r>
      <w:r w:rsidRPr="006D6B8D">
        <w:rPr>
          <w:sz w:val="28"/>
          <w:szCs w:val="28"/>
          <w:lang w:val="en-US"/>
        </w:rPr>
        <w:t xml:space="preserve"> does not necessarily occur, but the decision determined by physical premotion as necessary (and not thomistically as infallible), one can easily see, that for Pospíšil is the physical premotion predeterminating the human will in the modality of necessity.</w:t>
      </w:r>
    </w:p>
    <w:p w:rsidR="008010CC" w:rsidRPr="006D6B8D" w:rsidRDefault="000C2B83" w:rsidP="006D6B8D">
      <w:pPr>
        <w:pStyle w:val="Standard"/>
        <w:spacing w:after="12pt" w:line="18pt" w:lineRule="auto"/>
        <w:jc w:val="both"/>
        <w:rPr>
          <w:sz w:val="28"/>
          <w:szCs w:val="28"/>
        </w:rPr>
      </w:pPr>
      <w:r w:rsidRPr="006D6B8D">
        <w:rPr>
          <w:sz w:val="28"/>
          <w:szCs w:val="28"/>
          <w:lang w:val="en-US"/>
        </w:rPr>
        <w:t>In the question of determination to the one (</w:t>
      </w:r>
      <w:r w:rsidRPr="00BB0745">
        <w:rPr>
          <w:i/>
          <w:sz w:val="28"/>
          <w:szCs w:val="28"/>
          <w:lang w:val="en-US"/>
        </w:rPr>
        <w:t>determinatio ad unum</w:t>
      </w:r>
      <w:r w:rsidR="00BB0745">
        <w:rPr>
          <w:sz w:val="28"/>
          <w:szCs w:val="28"/>
          <w:lang w:val="en-US"/>
        </w:rPr>
        <w:t>) appears again Pospíš</w:t>
      </w:r>
      <w:r w:rsidRPr="006D6B8D">
        <w:rPr>
          <w:sz w:val="28"/>
          <w:szCs w:val="28"/>
          <w:lang w:val="en-US"/>
        </w:rPr>
        <w:t xml:space="preserve">il's lack of acceptance or unfamiliarity with the modality of infallibility, which permits that the determination to one does not necessarily </w:t>
      </w:r>
      <w:r w:rsidRPr="006D6B8D">
        <w:rPr>
          <w:sz w:val="28"/>
          <w:szCs w:val="28"/>
          <w:lang w:val="en-US"/>
        </w:rPr>
        <w:lastRenderedPageBreak/>
        <w:t>occur but infallibly, so that the freedom is not denied. In denying determination to one based on the work of Thomas Aquinas, we are of the opinion that Pospíšil did not consider the wider context of the texts, from which such unambiguous denying of the determination to one could not be so easily defended.</w:t>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t>In an effort to further substantiate the denial of physical premotion by references to Thomas Aquinas, Pospíšil draws very clearly on the work of Michele De Maria and also takes over his arguments without any major modifications. Again</w:t>
      </w:r>
      <w:r w:rsidR="00BB0745">
        <w:rPr>
          <w:sz w:val="28"/>
          <w:szCs w:val="28"/>
          <w:lang w:val="en-US"/>
        </w:rPr>
        <w:t>,</w:t>
      </w:r>
      <w:r w:rsidRPr="006D6B8D">
        <w:rPr>
          <w:sz w:val="28"/>
          <w:szCs w:val="28"/>
          <w:lang w:val="en-US"/>
        </w:rPr>
        <w:t xml:space="preserve"> in the various arguments we find the above-mentioned shortcomings: the distinction between active and passive indifference, the non-recognition of the modality of infallibility, the distinction between the external action of external causes and the internal action of premotion, the contradiction in ascribing God's immediate action in every act and only the mediated action of God in the decisions of the will itself capable of making the decision.</w:t>
      </w:r>
    </w:p>
    <w:p w:rsidR="006D6B8D" w:rsidRDefault="000C2B83" w:rsidP="006D6B8D">
      <w:pPr>
        <w:pStyle w:val="Textbody"/>
        <w:spacing w:after="12pt" w:line="18pt" w:lineRule="auto"/>
        <w:jc w:val="both"/>
        <w:rPr>
          <w:sz w:val="28"/>
          <w:szCs w:val="28"/>
          <w:lang w:val="en-US"/>
        </w:rPr>
      </w:pPr>
      <w:r w:rsidRPr="006D6B8D">
        <w:rPr>
          <w:sz w:val="28"/>
          <w:szCs w:val="28"/>
          <w:lang w:val="en-US"/>
        </w:rPr>
        <w:t>Pospíšil also sought to conclude how to summarize Thomas' doctrine of God's interaction with free human activities, and does so in four points, emphasizing freedom of human will and freedom from determination to one, as he identifies it with necessity. Pospíšil limits the determination to one only to the activities of unreasonable agents who, by their nature and external conditions, are determined for a certain mode of action, what is not the case of man, because such determination would mean necessity in action and negation of freedom. Therefore, he concludes that the doctrine of physical premotion is unacceptable in respect to determination to one. We cannot easily agree with his conclusion here, because in his reasoning he does not take into account at all that the determination to one takes place in the modality of infallibility, which is an eminent form embracing both contingency and necessity.</w:t>
      </w:r>
      <w:r w:rsidRPr="006D6B8D">
        <w:rPr>
          <w:sz w:val="28"/>
          <w:szCs w:val="28"/>
          <w:lang w:val="en-US"/>
        </w:rPr>
        <w:br/>
        <w:t xml:space="preserve">We propose a different approach to the question of God's interaction and human </w:t>
      </w:r>
      <w:r w:rsidRPr="006D6B8D">
        <w:rPr>
          <w:sz w:val="28"/>
          <w:szCs w:val="28"/>
          <w:lang w:val="en-US"/>
        </w:rPr>
        <w:lastRenderedPageBreak/>
        <w:t xml:space="preserve">freedom in order to accept the doctrine of physical premotion: God, who is an eminent being, must preserve his qualities, including omnipotence and omniscience, while from the point of view of man we must take into account the general human experience that man is considered free when he is the master of his actions. In order for God to be truly master of the world, His decisions must be fulfilled in an irresistible way, as God </w:t>
      </w:r>
      <w:r w:rsidRPr="00BB0745">
        <w:rPr>
          <w:i/>
          <w:sz w:val="28"/>
          <w:szCs w:val="28"/>
          <w:lang w:val="en-US"/>
        </w:rPr>
        <w:t>ab aeterno</w:t>
      </w:r>
      <w:r w:rsidRPr="006D6B8D">
        <w:rPr>
          <w:sz w:val="28"/>
          <w:szCs w:val="28"/>
          <w:lang w:val="en-US"/>
        </w:rPr>
        <w:t xml:space="preserve"> recognizes them in his essence. He always already knows, because there must be no change or improvement in his knowledge, otherwise he would not be perfect. In order to consider oneself as a free being, one must experience responsibility for his actions. It is noteworthy that just as one is aware of the moral inaccuracy of his actions, he seeks all sorts of determining conditions around him that have caused his evil deed, implying that he is trying to </w:t>
      </w:r>
      <w:r w:rsidR="00787207">
        <w:rPr>
          <w:sz w:val="28"/>
          <w:szCs w:val="28"/>
          <w:lang w:val="en-US"/>
        </w:rPr>
        <w:t>proof</w:t>
      </w:r>
      <w:r w:rsidRPr="006D6B8D">
        <w:rPr>
          <w:sz w:val="28"/>
          <w:szCs w:val="28"/>
          <w:lang w:val="en-US"/>
        </w:rPr>
        <w:t xml:space="preserve"> that he is not responsible for his actions. In order for a man not to be deceived by God that he is free, his freedom must be unlimited by God (and by his activity, such as physical premotion). Therefore, we also consider active and passive indifference in will to be an important distinction, since passive indifference is a space for physical premotion, while active indifference is the whole space of human freedom. If someone, like Pospíšil, does not recognize the distinction between active and passive indifference, it is obvious that he cannot accept the Thomistic doctrine of physical premotion. Let us also mention that what we call the gnoseological barrier is also important for the experience of human freedom, that human knowledge does not naturally reach the quality of physical premotion about future human acts known only by God </w:t>
      </w:r>
      <w:r w:rsidRPr="00787207">
        <w:rPr>
          <w:i/>
          <w:sz w:val="28"/>
          <w:szCs w:val="28"/>
          <w:lang w:val="en-US"/>
        </w:rPr>
        <w:t>ab aeterno</w:t>
      </w:r>
      <w:r w:rsidRPr="006D6B8D">
        <w:rPr>
          <w:sz w:val="28"/>
          <w:szCs w:val="28"/>
          <w:lang w:val="en-US"/>
        </w:rPr>
        <w:t>, because if one knew for certain, how will he in future act, he would hardly consider himself as free.</w:t>
      </w:r>
    </w:p>
    <w:p w:rsidR="006D6B8D" w:rsidRDefault="006D6B8D" w:rsidP="006D6B8D">
      <w:pPr>
        <w:jc w:val="both"/>
        <w:rPr>
          <w:sz w:val="28"/>
          <w:szCs w:val="28"/>
          <w:lang w:val="en-US"/>
        </w:rPr>
      </w:pPr>
      <w:r>
        <w:rPr>
          <w:sz w:val="28"/>
          <w:szCs w:val="28"/>
          <w:lang w:val="en-US"/>
        </w:rPr>
        <w:br w:type="page"/>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lastRenderedPageBreak/>
        <w:t>III.</w:t>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t>The third issue in which Pospíšil's thinking moves away from the Thomistic tradition is whether the world is or could be eternal. Thomas Aquinas, on the question of whether the world could be eternal, says it is possible. When it comes to whether the world must be eternal, he claims not. And whether the world is eternal, he claims that regardless of God's revelation, we can say that probably not. Pospíšil disputes this position of Thomas and tries to show not only that the world is not eternal, but that it is logically inconsistent to say that it could be eternal and that it has to be eternal.</w:t>
      </w:r>
    </w:p>
    <w:p w:rsidR="006D6B8D" w:rsidRDefault="000C2B83" w:rsidP="006D6B8D">
      <w:pPr>
        <w:pStyle w:val="Textbody"/>
        <w:spacing w:after="12pt" w:line="18pt" w:lineRule="auto"/>
        <w:jc w:val="both"/>
        <w:rPr>
          <w:sz w:val="28"/>
          <w:szCs w:val="28"/>
          <w:lang w:val="en-US"/>
        </w:rPr>
      </w:pPr>
      <w:r w:rsidRPr="006D6B8D">
        <w:rPr>
          <w:sz w:val="28"/>
          <w:szCs w:val="28"/>
          <w:lang w:val="en-US"/>
        </w:rPr>
        <w:t>Pospíšil first tries to introduce Thomas' reasoning for the possibility of the eternal world. In order to grasp the infinite number of days of the eternal world, it is possible to grasp the first and last member regardless of the infinite number of middle members. In terms of an infinite number of effective causes, it must be said that not all of them have to act at the same time, but can also act one after another. In order not to represent the eternal duration of the world as a confusion with God's eternity, it is necessary to distinguish that we predicate the eternity to God and the world in a different meaning: To God as embracing all time in one moment, to the world as an infinite number of time moments in an uninterrupted sequence. The argument that there would be an infinite number of immortal human souls in the eternal world is not quite sufficient against the eternal world, for it would have to be specified how these souls actually exist. All arguments against the eternity of the world ultimately refer to the Aristotelian axiom that there cannot actually exist an infinite number of certain contingent beings.</w:t>
      </w:r>
    </w:p>
    <w:p w:rsidR="006D6B8D" w:rsidRDefault="006D6B8D" w:rsidP="006D6B8D">
      <w:pPr>
        <w:jc w:val="both"/>
        <w:rPr>
          <w:sz w:val="28"/>
          <w:szCs w:val="28"/>
          <w:lang w:val="en-US"/>
        </w:rPr>
      </w:pPr>
      <w:r>
        <w:rPr>
          <w:sz w:val="28"/>
          <w:szCs w:val="28"/>
          <w:lang w:val="en-US"/>
        </w:rPr>
        <w:br w:type="page"/>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lastRenderedPageBreak/>
        <w:t>We find a greater manifestation of Pospíšil's argumentative ability in proving that the concept of eternal creation contains an internal contradiction. As we explored, we were increasingly discovering how similar is Pospíšil's argumentation to that of Albert Stöckl, and how the same understanding of infinity is present in both. According to Pospíšil the created world (</w:t>
      </w:r>
      <w:r w:rsidRPr="00787207">
        <w:rPr>
          <w:i/>
          <w:sz w:val="28"/>
          <w:szCs w:val="28"/>
          <w:lang w:val="en-US"/>
        </w:rPr>
        <w:t>creatio passiva</w:t>
      </w:r>
      <w:r w:rsidRPr="006D6B8D">
        <w:rPr>
          <w:sz w:val="28"/>
          <w:szCs w:val="28"/>
          <w:lang w:val="en-US"/>
        </w:rPr>
        <w:t>) as such is necessarily associated with the beginning, while eternity just consists in the negation of that beginning as its limit.</w:t>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t>If creation is related to time, it is itself incompatible with eternity. Therefore, the term “eternal creation” seems intrinsically contradictory to Pospíšil, because it contains contradictory qualities, that it has and has not a beginning at the same time. It is necessa</w:t>
      </w:r>
      <w:r w:rsidR="00787207">
        <w:rPr>
          <w:sz w:val="28"/>
          <w:szCs w:val="28"/>
          <w:lang w:val="en-US"/>
        </w:rPr>
        <w:t>ry to distinguish here, as Thomas</w:t>
      </w:r>
      <w:r w:rsidRPr="006D6B8D">
        <w:rPr>
          <w:sz w:val="28"/>
          <w:szCs w:val="28"/>
          <w:lang w:val="en-US"/>
        </w:rPr>
        <w:t xml:space="preserve"> Aquinas does, in what respect the beginning (</w:t>
      </w:r>
      <w:r w:rsidRPr="00787207">
        <w:rPr>
          <w:i/>
          <w:sz w:val="28"/>
          <w:szCs w:val="28"/>
          <w:lang w:val="en-US"/>
        </w:rPr>
        <w:t>principium</w:t>
      </w:r>
      <w:r w:rsidRPr="006D6B8D">
        <w:rPr>
          <w:sz w:val="28"/>
          <w:szCs w:val="28"/>
          <w:lang w:val="en-US"/>
        </w:rPr>
        <w:t xml:space="preserve">) is considered. It is inherent to every created being that it has an origin in the sense of </w:t>
      </w:r>
      <w:r w:rsidRPr="00787207">
        <w:rPr>
          <w:i/>
          <w:sz w:val="28"/>
          <w:szCs w:val="28"/>
          <w:lang w:val="en-US"/>
        </w:rPr>
        <w:t>principium originis</w:t>
      </w:r>
      <w:r w:rsidRPr="006D6B8D">
        <w:rPr>
          <w:sz w:val="28"/>
          <w:szCs w:val="28"/>
          <w:lang w:val="en-US"/>
        </w:rPr>
        <w:t>, but this is not yet to say that it is also its origin considered as a beginning in time, the beginning of duration (</w:t>
      </w:r>
      <w:r w:rsidRPr="00787207">
        <w:rPr>
          <w:i/>
          <w:sz w:val="28"/>
          <w:szCs w:val="28"/>
          <w:lang w:val="en-US"/>
        </w:rPr>
        <w:t>principium durationis</w:t>
      </w:r>
      <w:r w:rsidRPr="006D6B8D">
        <w:rPr>
          <w:sz w:val="28"/>
          <w:szCs w:val="28"/>
          <w:lang w:val="en-US"/>
        </w:rPr>
        <w:t>). But even if that were the case, it is still not convincing for Pospíšil in relation to the possibility of the eternity of the world, for the world is inseparably linked with temporality and the time needs to have a certain measure to be itself (i.e. not to be timeless time).</w:t>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t xml:space="preserve">It is also unacceptable, according to Pospíšil, that the world should always already be existing, because it would be an eternal act, and thus would be </w:t>
      </w:r>
      <w:r w:rsidR="004C02CD">
        <w:rPr>
          <w:sz w:val="28"/>
          <w:szCs w:val="28"/>
          <w:lang w:val="en-US"/>
        </w:rPr>
        <w:t>identified</w:t>
      </w:r>
      <w:r w:rsidRPr="006D6B8D">
        <w:rPr>
          <w:sz w:val="28"/>
          <w:szCs w:val="28"/>
          <w:lang w:val="en-US"/>
        </w:rPr>
        <w:t xml:space="preserve"> with God in</w:t>
      </w:r>
      <w:r w:rsidR="004C02CD">
        <w:rPr>
          <w:sz w:val="28"/>
          <w:szCs w:val="28"/>
          <w:lang w:val="en-US"/>
        </w:rPr>
        <w:t xml:space="preserve"> the</w:t>
      </w:r>
      <w:r w:rsidRPr="006D6B8D">
        <w:rPr>
          <w:sz w:val="28"/>
          <w:szCs w:val="28"/>
          <w:lang w:val="en-US"/>
        </w:rPr>
        <w:t xml:space="preserve"> regard</w:t>
      </w:r>
      <w:r w:rsidR="004C02CD">
        <w:rPr>
          <w:sz w:val="28"/>
          <w:szCs w:val="28"/>
          <w:lang w:val="en-US"/>
        </w:rPr>
        <w:t xml:space="preserve"> of eternal actuality</w:t>
      </w:r>
      <w:r w:rsidRPr="006D6B8D">
        <w:rPr>
          <w:sz w:val="28"/>
          <w:szCs w:val="28"/>
          <w:lang w:val="en-US"/>
        </w:rPr>
        <w:t>. And it woul</w:t>
      </w:r>
      <w:r w:rsidR="004C02CD">
        <w:rPr>
          <w:sz w:val="28"/>
          <w:szCs w:val="28"/>
          <w:lang w:val="en-US"/>
        </w:rPr>
        <w:t>d be an eternal act if there had been</w:t>
      </w:r>
      <w:r w:rsidRPr="006D6B8D">
        <w:rPr>
          <w:sz w:val="28"/>
          <w:szCs w:val="28"/>
          <w:lang w:val="en-US"/>
        </w:rPr>
        <w:t xml:space="preserve"> never a moment of creation (</w:t>
      </w:r>
      <w:r w:rsidRPr="004C02CD">
        <w:rPr>
          <w:i/>
          <w:sz w:val="28"/>
          <w:szCs w:val="28"/>
          <w:lang w:val="en-US"/>
        </w:rPr>
        <w:t>creatio activa</w:t>
      </w:r>
      <w:r w:rsidRPr="006D6B8D">
        <w:rPr>
          <w:sz w:val="28"/>
          <w:szCs w:val="28"/>
          <w:lang w:val="en-US"/>
        </w:rPr>
        <w:t>). Similarly, in the case of the eternal world – which Pospíšil considers as uncreated - the whole doctrine of God as the Creator would fall away, and only the doctrine of God as the Conservator of the world (</w:t>
      </w:r>
      <w:r w:rsidRPr="004C02CD">
        <w:rPr>
          <w:i/>
          <w:sz w:val="28"/>
          <w:szCs w:val="28"/>
          <w:lang w:val="en-US"/>
        </w:rPr>
        <w:t>de conservatione mundi</w:t>
      </w:r>
      <w:r w:rsidRPr="006D6B8D">
        <w:rPr>
          <w:sz w:val="28"/>
          <w:szCs w:val="28"/>
          <w:lang w:val="en-US"/>
        </w:rPr>
        <w:t>) would be left. Also in this respect, Pospíšil expresses very similar to Stöckl.</w:t>
      </w:r>
    </w:p>
    <w:p w:rsidR="004C02CD" w:rsidRDefault="000C2B83" w:rsidP="006D6B8D">
      <w:pPr>
        <w:pStyle w:val="Textbody"/>
        <w:spacing w:after="12pt" w:line="18pt" w:lineRule="auto"/>
        <w:jc w:val="both"/>
        <w:rPr>
          <w:sz w:val="28"/>
          <w:szCs w:val="28"/>
          <w:lang w:val="en-US"/>
        </w:rPr>
      </w:pPr>
      <w:r w:rsidRPr="006D6B8D">
        <w:rPr>
          <w:sz w:val="28"/>
          <w:szCs w:val="28"/>
          <w:lang w:val="en-US"/>
        </w:rPr>
        <w:lastRenderedPageBreak/>
        <w:t>The temporality is according to Pospíšil that what makes the world different from God and God from the world. God transcends the temporality of the world by His eternity. The world is always limited in time, while God is not. Here again, Stöckl's understanding of infinity shows that it can only be ascribed to God as actual, while the created world is always finite and all infinite in it is only in potential sense.</w:t>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t>In the question of the necessity of the eternal world, in Pospíšil's work we encounter a representation of the arguments for which we have searched for their source, showing the traces of the works of Albert Stöckl and Michele De Maria.</w:t>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t>Evaluating Pospíšil's view of the possibility of the eternal world, we came to the conclusion that his view stems from his conception of infinity, which, as he overtakes it from Albert Stöckl, is incompatible with the actual existence of an infinite number of contingent substances. Furthermore, it is impossible for Pospíšil to say that time would be eternal (</w:t>
      </w:r>
      <w:r w:rsidRPr="004C02CD">
        <w:rPr>
          <w:i/>
          <w:sz w:val="28"/>
          <w:szCs w:val="28"/>
          <w:lang w:val="en-US"/>
        </w:rPr>
        <w:t>ex parte ante</w:t>
      </w:r>
      <w:r w:rsidRPr="006D6B8D">
        <w:rPr>
          <w:sz w:val="28"/>
          <w:szCs w:val="28"/>
          <w:lang w:val="en-US"/>
        </w:rPr>
        <w:t>), because settling into a certain time is necessary for every created being, otherwise it could only be considered as abstract or general in its essence, but not as actually existing.</w:t>
      </w:r>
    </w:p>
    <w:p w:rsidR="00834CE7" w:rsidRDefault="000C2B83" w:rsidP="006D6B8D">
      <w:pPr>
        <w:pStyle w:val="Textbody"/>
        <w:spacing w:after="12pt" w:line="18pt" w:lineRule="auto"/>
        <w:jc w:val="both"/>
        <w:rPr>
          <w:sz w:val="28"/>
          <w:szCs w:val="28"/>
          <w:lang w:val="en-US"/>
        </w:rPr>
      </w:pPr>
      <w:r w:rsidRPr="006D6B8D">
        <w:rPr>
          <w:sz w:val="28"/>
          <w:szCs w:val="28"/>
          <w:lang w:val="en-US"/>
        </w:rPr>
        <w:t>The structure of time is different considering the past and the future. While the future is potentially open and definitively given only in the present, the past is</w:t>
      </w:r>
      <w:r w:rsidR="004C02CD">
        <w:rPr>
          <w:sz w:val="28"/>
          <w:szCs w:val="28"/>
          <w:lang w:val="en-US"/>
        </w:rPr>
        <w:t xml:space="preserve"> </w:t>
      </w:r>
      <w:r w:rsidRPr="006D6B8D">
        <w:rPr>
          <w:sz w:val="28"/>
          <w:szCs w:val="28"/>
          <w:lang w:val="en-US"/>
        </w:rPr>
        <w:t xml:space="preserve">always given and remains in a kind of memory - the further development of the world bears traces of what happened in the past. This puts less weight on the argument that the past is no longer present, because it somehow affects the actual presence. And since the actual existence of an infinite number of contingent beings contradicts the aforementioned </w:t>
      </w:r>
      <w:r w:rsidR="004C02CD">
        <w:rPr>
          <w:sz w:val="28"/>
          <w:szCs w:val="28"/>
          <w:lang w:val="en-US"/>
        </w:rPr>
        <w:t xml:space="preserve">Aristotelian </w:t>
      </w:r>
      <w:r w:rsidRPr="006D6B8D">
        <w:rPr>
          <w:sz w:val="28"/>
          <w:szCs w:val="28"/>
          <w:lang w:val="en-US"/>
        </w:rPr>
        <w:t>axiom, we consider Pospíšil's consideration of the impossibility of eternal time correct in this regard.</w:t>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lastRenderedPageBreak/>
        <w:t>If we consider time in relation to the world, we cannot say that any created being is out of time or not dependent on time. Time is, therefore, a kind of propriety (</w:t>
      </w:r>
      <w:r w:rsidRPr="004C02CD">
        <w:rPr>
          <w:i/>
          <w:sz w:val="28"/>
          <w:szCs w:val="28"/>
          <w:lang w:val="en-US"/>
        </w:rPr>
        <w:t>proprium</w:t>
      </w:r>
      <w:r w:rsidRPr="006D6B8D">
        <w:rPr>
          <w:sz w:val="28"/>
          <w:szCs w:val="28"/>
          <w:lang w:val="en-US"/>
        </w:rPr>
        <w:t xml:space="preserve">) of all created beings, and so it is not possible to assign it only as part of the world, just as individual beings are, but as </w:t>
      </w:r>
      <w:r w:rsidR="004C02CD" w:rsidRPr="006D6B8D">
        <w:rPr>
          <w:sz w:val="28"/>
          <w:szCs w:val="28"/>
          <w:lang w:val="en-US"/>
        </w:rPr>
        <w:t>something,</w:t>
      </w:r>
      <w:r w:rsidRPr="006D6B8D">
        <w:rPr>
          <w:sz w:val="28"/>
          <w:szCs w:val="28"/>
          <w:lang w:val="en-US"/>
        </w:rPr>
        <w:t xml:space="preserve"> that necessarily concerns every created being. The eternal world, which would deny a certain measure of time, would have a logical contradiction in itself, as we agree with Pospíšil.</w:t>
      </w:r>
    </w:p>
    <w:p w:rsidR="008010CC" w:rsidRPr="006D6B8D" w:rsidRDefault="000C2B83" w:rsidP="006D6B8D">
      <w:pPr>
        <w:pStyle w:val="Textbody"/>
        <w:spacing w:after="12pt" w:line="18pt" w:lineRule="auto"/>
        <w:jc w:val="both"/>
        <w:rPr>
          <w:sz w:val="28"/>
          <w:szCs w:val="28"/>
          <w:lang w:val="en-US"/>
        </w:rPr>
      </w:pPr>
      <w:r w:rsidRPr="006D6B8D">
        <w:rPr>
          <w:sz w:val="28"/>
          <w:szCs w:val="28"/>
          <w:lang w:val="en-US"/>
        </w:rPr>
        <w:t>Another part of Pospíšil's argument against the eternal world is again based on from Stöckl adopted conception of infinity, which is the guarantor of the difference between God and creation, where only God is actually infinite in all respects and the created being</w:t>
      </w:r>
      <w:r w:rsidR="004C02CD">
        <w:rPr>
          <w:sz w:val="28"/>
          <w:szCs w:val="28"/>
          <w:lang w:val="en-US"/>
        </w:rPr>
        <w:t>s</w:t>
      </w:r>
      <w:r w:rsidRPr="006D6B8D">
        <w:rPr>
          <w:sz w:val="28"/>
          <w:szCs w:val="28"/>
          <w:lang w:val="en-US"/>
        </w:rPr>
        <w:t xml:space="preserve"> </w:t>
      </w:r>
      <w:r w:rsidR="004C02CD">
        <w:rPr>
          <w:sz w:val="28"/>
          <w:szCs w:val="28"/>
          <w:lang w:val="en-US"/>
        </w:rPr>
        <w:t>are</w:t>
      </w:r>
      <w:r w:rsidRPr="006D6B8D">
        <w:rPr>
          <w:sz w:val="28"/>
          <w:szCs w:val="28"/>
          <w:lang w:val="en-US"/>
        </w:rPr>
        <w:t xml:space="preserve"> actually limited in all respects. All infinity in the created world refers to potential infinity. Therefore, the infinite duration of the world is also unacceptable for Pospíšil, because it would be attributed to created beings and especially to the matter an aspect of infinity (infinity of time), what would erase the difference between the Creator and creation (</w:t>
      </w:r>
      <w:r w:rsidRPr="004C02CD">
        <w:rPr>
          <w:i/>
          <w:sz w:val="28"/>
          <w:szCs w:val="28"/>
          <w:lang w:val="en-US"/>
        </w:rPr>
        <w:t>creatio passiva</w:t>
      </w:r>
      <w:r w:rsidRPr="006D6B8D">
        <w:rPr>
          <w:sz w:val="28"/>
          <w:szCs w:val="28"/>
          <w:lang w:val="en-US"/>
        </w:rPr>
        <w:t>). Pospíšil uses this argument often against materialism and pantheism.</w:t>
      </w:r>
      <w:r w:rsidRPr="006D6B8D">
        <w:rPr>
          <w:sz w:val="28"/>
          <w:szCs w:val="28"/>
          <w:lang w:val="en-US"/>
        </w:rPr>
        <w:br/>
        <w:t>As a result of the sharp division of the types of infinity, one can see the mode of transcendence Posp</w:t>
      </w:r>
      <w:r w:rsidR="004C02CD">
        <w:rPr>
          <w:sz w:val="28"/>
          <w:szCs w:val="28"/>
          <w:lang w:val="en-US"/>
        </w:rPr>
        <w:t>íš</w:t>
      </w:r>
      <w:r w:rsidRPr="006D6B8D">
        <w:rPr>
          <w:sz w:val="28"/>
          <w:szCs w:val="28"/>
          <w:lang w:val="en-US"/>
        </w:rPr>
        <w:t>il sets between God and the created world. Everything that God works outside of his essence he works in time. In this way his action differs from himself, which makes it possible to claim at the same time the infinite nature of God and the finality of creation. God's decrees are entitatively in God from eternity, while the created effect is terminatively at a certain time. Thus God, as an infinite cause can bring out a finite effect, because another effect than a finite one is in creation, which is always limited in all respects, not possible. In this respect, we see Pospíšil's thinking as a logical consequence of his (and Stöckl's) interpretation of infinity.</w:t>
      </w:r>
    </w:p>
    <w:sectPr w:rsidR="008010CC" w:rsidRPr="006D6B8D" w:rsidSect="001445EF">
      <w:footerReference w:type="default" r:id="rId8"/>
      <w:pgSz w:w="595.30pt" w:h="841.90pt"/>
      <w:pgMar w:top="72pt" w:right="82.30pt" w:bottom="112.50pt" w:left="72pt" w:header="35.40pt" w:footer="35.40pt" w:gutter="0pt"/>
      <w:pgNumType w:start="0"/>
      <w:cols w:space="35.40pt"/>
      <w:titlePg/>
      <w:docGrid w:linePitch="326"/>
    </w:sectPr>
  </w:body>
</w:document>
</file>

<file path=word/endnotes.xml><?xml version="1.0" encoding="utf-8"?>
<w:end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endnote w:type="separator" w:id="-1">
    <w:p w:rsidR="00B75FD7" w:rsidRDefault="00B75FD7">
      <w:r>
        <w:separator/>
      </w:r>
    </w:p>
  </w:endnote>
  <w:endnote w:type="continuationSeparator" w:id="0">
    <w:p w:rsidR="00B75FD7" w:rsidRDefault="00B75FD7">
      <w:r>
        <w:continuationSeparator/>
      </w:r>
    </w:p>
  </w:endnote>
</w:endnotes>
</file>

<file path=word/fontTable.xml><?xml version="1.0" encoding="utf-8"?>
<w:font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font w:name="Liberation Serif">
    <w:altName w:val="Times New Roman"/>
    <w:charset w:characterSet="iso-8859-1"/>
    <w:family w:val="roman"/>
    <w:pitch w:val="variable"/>
  </w:font>
  <w:font w:name="Droid Sans Fallback">
    <w:altName w:val="Times New Roman"/>
    <w:charset w:characterSet="iso-8859-1"/>
    <w:family w:val="auto"/>
    <w:pitch w:val="variable"/>
  </w:font>
  <w:font w:name="FreeSans">
    <w:altName w:val="Times New Roman"/>
    <w:charset w:characterSet="iso-8859-1"/>
    <w:family w:val="auto"/>
    <w:pitch w:val="variable"/>
  </w:font>
  <w:font w:name="Liberation Sans">
    <w:altName w:val="Arial"/>
    <w:charset w:characterSet="iso-8859-1"/>
    <w:family w:val="swiss"/>
    <w:pitch w:val="variable"/>
  </w:font>
  <w:font w:name="Times New Roman">
    <w:panose1 w:val="02020603050405020304"/>
    <w:charset w:characterSet="windows-1250"/>
    <w:family w:val="roman"/>
    <w:pitch w:val="variable"/>
    <w:sig w:usb0="E0002AFF" w:usb1="C0007841" w:usb2="00000009" w:usb3="00000000" w:csb0="000001FF" w:csb1="00000000"/>
  </w:font>
  <w:font w:name="OpenSymbol">
    <w:charset w:characterSet="iso-8859-1"/>
    <w:family w:val="auto"/>
    <w:pitch w:val="default"/>
  </w:font>
  <w:font w:name="Mangal">
    <w:altName w:val="Courier New"/>
    <w:panose1 w:val="00000400000000000000"/>
    <w:charset w:characterSet="iso-8859-1"/>
    <w:family w:val="roman"/>
    <w:pitch w:val="variable"/>
    <w:sig w:usb0="00002000" w:usb1="00000000" w:usb2="00000000" w:usb3="00000000" w:csb0="00000000" w:csb1="00000000"/>
  </w:font>
  <w:font w:name="Calibri Light">
    <w:panose1 w:val="020F0302020204030204"/>
    <w:charset w:characterSet="windows-1250"/>
    <w:family w:val="swiss"/>
    <w:pitch w:val="variable"/>
    <w:sig w:usb0="A0002AEF" w:usb1="4000207B" w:usb2="00000000" w:usb3="00000000" w:csb0="000001FF" w:csb1="00000000"/>
  </w:font>
  <w:font w:name="Calibri">
    <w:panose1 w:val="020F0502020204030204"/>
    <w:charset w:characterSet="windows-1250"/>
    <w:family w:val="swiss"/>
    <w:pitch w:val="variable"/>
    <w:sig w:usb0="E0002AFF" w:usb1="4000ACFF" w:usb2="00000001" w:usb3="00000000" w:csb0="000001FF" w:csb1="00000000"/>
  </w:font>
</w:fonts>
</file>

<file path=word/footer1.xml><?xml version="1.0" encoding="utf-8"?>
<w:ftr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sdt>
    <w:sdtPr>
      <w:id w:val="502334421"/>
      <w:docPartObj>
        <w:docPartGallery w:val="Page Numbers (Bottom of Page)"/>
        <w:docPartUnique/>
      </w:docPartObj>
    </w:sdtPr>
    <w:sdtEndPr/>
    <w:sdtContent>
      <w:p w:rsidR="006D6B8D" w:rsidRDefault="006D6B8D">
        <w:pPr>
          <w:pStyle w:val="Footer"/>
          <w:jc w:val="center"/>
        </w:pPr>
        <w:r>
          <w:fldChar w:fldCharType="begin"/>
        </w:r>
        <w:r>
          <w:instrText>PAGE   \* MERGEFORMAT</w:instrText>
        </w:r>
        <w:r>
          <w:fldChar w:fldCharType="separate"/>
        </w:r>
        <w:r w:rsidR="001445EF">
          <w:rPr>
            <w:noProof/>
          </w:rPr>
          <w:t>1</w:t>
        </w:r>
        <w:r>
          <w:fldChar w:fldCharType="end"/>
        </w:r>
      </w:p>
    </w:sdtContent>
  </w:sdt>
  <w:p w:rsidR="006D6B8D" w:rsidRDefault="006D6B8D">
    <w:pPr>
      <w:pStyle w:val="Footer"/>
    </w:pPr>
  </w:p>
</w:ftr>
</file>

<file path=word/footnotes.xml><?xml version="1.0" encoding="utf-8"?>
<w:footnotes xmlns:cx="http://schemas.microsoft.com/office/drawing/2014/chartex" xmlns:cx1="http://schemas.microsoft.com/office/drawing/2015/9/8/chartex" xmlns:mc="http://schemas.openxmlformats.org/markup-compatibility/2006" xmlns:o="urn:schemas-microsoft-com:office:office" xmlns:r="http://purl.oclc.org/ooxml/officeDocument/relationships" xmlns:m="http://purl.oclc.org/ooxml/officeDocument/math" xmlns:v="urn:schemas-microsoft-com:vml" xmlns:wp14="http://schemas.microsoft.com/office/word/2010/wordprocessingDrawing" xmlns:wp="http://purl.oclc.org/ooxml/drawingml/wordprocessingDrawing" xmlns:w10="urn:schemas-microsoft-com:office:word" xmlns:w="http://purl.oclc.org/ooxml/wordprocessingml/main" xmlns:w14="http://schemas.microsoft.com/office/word/2010/wordml" xmlns:w15="http://schemas.microsoft.com/office/word/2012/wordml" xmlns:w16se="http://schemas.microsoft.com/office/word/2015/wordml/symex" xmlns:wpi="http://schemas.microsoft.com/office/word/2010/wordprocessingInk" xmlns:wne="http://schemas.microsoft.com/office/word/2006/wordml" mc:Ignorable="w14 w15 w16se wne wp14">
  <w:footnote w:type="separator" w:id="-1">
    <w:p w:rsidR="00B75FD7" w:rsidRDefault="00B75FD7">
      <w:r>
        <w:rPr>
          <w:color w:val="000000"/>
        </w:rPr>
        <w:separator/>
      </w:r>
    </w:p>
  </w:footnote>
  <w:footnote w:type="continuationSeparator" w:id="0">
    <w:p w:rsidR="00B75FD7" w:rsidRDefault="00B75FD7">
      <w:r>
        <w:continuationSeparator/>
      </w:r>
    </w:p>
  </w:footnote>
</w:footnotes>
</file>

<file path=word/settings.xml><?xml version="1.0" encoding="utf-8"?>
<w:settings xmlns:mc="http://schemas.openxmlformats.org/markup-compatibility/2006" xmlns:o="urn:schemas-microsoft-com:office:office" xmlns:r="http://purl.oclc.org/ooxml/officeDocument/relationships" xmlns:m="http://purl.oclc.org/ooxml/officeDocument/math" xmlns:v="urn:schemas-microsoft-com:vml" xmlns:w10="urn:schemas-microsoft-com:office:word" xmlns:w="http://purl.oclc.org/ooxml/wordprocessingml/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35.45pt"/>
  <w:autoHyphenation/>
  <w:hyphenationZone w:val="21.25pt"/>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010CC"/>
    <w:rsid w:val="00025716"/>
    <w:rsid w:val="000C2B83"/>
    <w:rsid w:val="001445EF"/>
    <w:rsid w:val="001B4402"/>
    <w:rsid w:val="003E47D9"/>
    <w:rsid w:val="00480641"/>
    <w:rsid w:val="004C02CD"/>
    <w:rsid w:val="006D6B8D"/>
    <w:rsid w:val="006E159C"/>
    <w:rsid w:val="00787207"/>
    <w:rsid w:val="008010CC"/>
    <w:rsid w:val="008113C1"/>
    <w:rsid w:val="00834CE7"/>
    <w:rsid w:val="00950360"/>
    <w:rsid w:val="00B75FD7"/>
    <w:rsid w:val="00BB0745"/>
    <w:rsid w:val="00D63DCC"/>
    <w:rsid w:val="00E63023"/>
    <w:rsid w:val="00F23B4E"/>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ecimalSymbol w:val="."/>
  <w:listSeparator w:val=","/>
  <w14:docId w14:val="2EA053B8"/>
  <w15:docId w15:val="{3ED25244-FD0D-44FB-AF04-F8BF716B5DF3}"/>
</w:settings>
</file>

<file path=word/styles.xml><?xml version="1.0" encoding="utf-8"?>
<w:style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w:docDefaults>
    <w:rPrDefault>
      <w:rPr>
        <w:rFonts w:ascii="Liberation Serif" w:eastAsia="Droid Sans Fallback" w:hAnsi="Liberation Serif" w:cs="FreeSans"/>
        <w:kern w:val="3"/>
        <w:sz w:val="24"/>
        <w:szCs w:val="24"/>
        <w:lang w:val="cs-CZ" w:eastAsia="zh-CN" w:bidi="hi-IN"/>
      </w:rPr>
    </w:rPrDefault>
    <w:pPrDefault>
      <w:pPr>
        <w:widowControl w:val="0"/>
        <w:suppressAutoHyphens/>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Heading"/>
    <w:next w:val="Textbody"/>
    <w:pPr>
      <w:outlineLvl w:val="0"/>
    </w:pPr>
    <w:rPr>
      <w:b/>
      <w:bCs/>
    </w:rPr>
  </w:style>
  <w:style w:type="paragraph" w:styleId="Heading2">
    <w:name w:val="heading 2"/>
    <w:basedOn w:val="Heading"/>
    <w:next w:val="Textbody"/>
    <w:pPr>
      <w:spacing w:before="10pt"/>
      <w:outlineLvl w:val="1"/>
    </w:pPr>
    <w:rPr>
      <w:b/>
      <w:bCs/>
    </w:rPr>
  </w:style>
  <w:style w:type="paragraph" w:styleId="Heading3">
    <w:name w:val="heading 3"/>
    <w:basedOn w:val="Heading"/>
    <w:next w:val="Textbody"/>
    <w:pPr>
      <w:spacing w:before="7pt"/>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pt" w:type="dxa"/>
      <w:tblCellMar>
        <w:top w:w="0pt" w:type="dxa"/>
        <w:start w:w="5.40pt" w:type="dxa"/>
        <w:bottom w:w="0pt" w:type="dxa"/>
        <w:end w:w="5.40pt" w:type="dxa"/>
      </w:tblCellMar>
    </w:tblPr>
  </w:style>
  <w:style w:type="numbering" w:default="1" w:styleId="NoList">
    <w:name w:val="No List"/>
    <w:uiPriority w:val="99"/>
    <w:semiHidden/>
    <w:unhideWhenUsed/>
  </w:style>
  <w:style w:type="paragraph" w:customStyle="1" w:styleId="Standard">
    <w:name w:val="Standard"/>
  </w:style>
  <w:style w:type="paragraph" w:customStyle="1" w:styleId="Heading">
    <w:name w:val="Heading"/>
    <w:basedOn w:val="Standard"/>
    <w:next w:val="Textbody"/>
    <w:pPr>
      <w:keepNext/>
      <w:spacing w:before="12pt" w:after="6pt"/>
    </w:pPr>
    <w:rPr>
      <w:rFonts w:ascii="Liberation Sans" w:hAnsi="Liberation Sans"/>
      <w:sz w:val="28"/>
      <w:szCs w:val="28"/>
    </w:rPr>
  </w:style>
  <w:style w:type="paragraph" w:customStyle="1" w:styleId="Textbody">
    <w:name w:val="Text body"/>
    <w:basedOn w:val="Standard"/>
    <w:pPr>
      <w:spacing w:after="7pt" w:line="14.40pt" w:lineRule="auto"/>
    </w:pPr>
  </w:style>
  <w:style w:type="paragraph" w:styleId="List">
    <w:name w:val="List"/>
    <w:basedOn w:val="Textbody"/>
  </w:style>
  <w:style w:type="paragraph" w:styleId="Caption">
    <w:name w:val="caption"/>
    <w:basedOn w:val="Standard"/>
    <w:pPr>
      <w:suppressLineNumbers/>
      <w:spacing w:before="6pt" w:after="6pt"/>
    </w:pPr>
    <w:rPr>
      <w:i/>
      <w:iCs/>
    </w:rPr>
  </w:style>
  <w:style w:type="paragraph" w:customStyle="1" w:styleId="Index">
    <w:name w:val="Index"/>
    <w:basedOn w:val="Standard"/>
    <w:pPr>
      <w:suppressLineNumbers/>
    </w:pPr>
  </w:style>
  <w:style w:type="paragraph" w:customStyle="1" w:styleId="Quotations">
    <w:name w:val="Quotations"/>
    <w:basedOn w:val="Standard"/>
    <w:pPr>
      <w:spacing w:after="14.15pt"/>
      <w:ind w:start="28.35pt" w:end="28.35pt"/>
    </w:pPr>
  </w:style>
  <w:style w:type="paragraph" w:styleId="Title">
    <w:name w:val="Title"/>
    <w:basedOn w:val="Heading"/>
    <w:next w:val="Textbody"/>
    <w:pPr>
      <w:jc w:val="center"/>
    </w:pPr>
    <w:rPr>
      <w:b/>
      <w:bCs/>
      <w:sz w:val="56"/>
      <w:szCs w:val="56"/>
    </w:rPr>
  </w:style>
  <w:style w:type="paragraph" w:styleId="Subtitle">
    <w:name w:val="Subtitle"/>
    <w:basedOn w:val="Heading"/>
    <w:next w:val="Textbody"/>
    <w:pPr>
      <w:spacing w:before="3pt"/>
      <w:jc w:val="center"/>
    </w:pPr>
    <w:rPr>
      <w:sz w:val="36"/>
      <w:szCs w:val="36"/>
    </w:rPr>
  </w:style>
  <w:style w:type="character" w:customStyle="1" w:styleId="BulletSymbols">
    <w:name w:val="Bullet Symbols"/>
    <w:rPr>
      <w:rFonts w:ascii="OpenSymbol" w:eastAsia="OpenSymbol" w:hAnsi="OpenSymbol" w:cs="OpenSymbol"/>
    </w:rPr>
  </w:style>
  <w:style w:type="character" w:customStyle="1" w:styleId="Internetlink">
    <w:name w:val="Internet link"/>
    <w:rPr>
      <w:color w:val="000080"/>
      <w:u w:val="single"/>
    </w:rPr>
  </w:style>
  <w:style w:type="paragraph" w:styleId="Header">
    <w:name w:val="header"/>
    <w:basedOn w:val="Normal"/>
    <w:link w:val="HeaderChar"/>
    <w:uiPriority w:val="99"/>
    <w:unhideWhenUsed/>
    <w:rsid w:val="006D6B8D"/>
    <w:pPr>
      <w:tabs>
        <w:tab w:val="center" w:pos="226.80pt"/>
        <w:tab w:val="end" w:pos="453.60pt"/>
      </w:tabs>
    </w:pPr>
    <w:rPr>
      <w:rFonts w:cs="Mangal"/>
      <w:szCs w:val="21"/>
    </w:rPr>
  </w:style>
  <w:style w:type="character" w:customStyle="1" w:styleId="HeaderChar">
    <w:name w:val="Header Char"/>
    <w:basedOn w:val="DefaultParagraphFont"/>
    <w:link w:val="Header"/>
    <w:uiPriority w:val="99"/>
    <w:rsid w:val="006D6B8D"/>
    <w:rPr>
      <w:rFonts w:cs="Mangal"/>
      <w:szCs w:val="21"/>
    </w:rPr>
  </w:style>
  <w:style w:type="paragraph" w:styleId="Footer">
    <w:name w:val="footer"/>
    <w:basedOn w:val="Normal"/>
    <w:link w:val="FooterChar"/>
    <w:uiPriority w:val="99"/>
    <w:unhideWhenUsed/>
    <w:rsid w:val="006D6B8D"/>
    <w:pPr>
      <w:tabs>
        <w:tab w:val="center" w:pos="226.80pt"/>
        <w:tab w:val="end" w:pos="453.60pt"/>
      </w:tabs>
    </w:pPr>
    <w:rPr>
      <w:rFonts w:cs="Mangal"/>
      <w:szCs w:val="21"/>
    </w:rPr>
  </w:style>
  <w:style w:type="character" w:customStyle="1" w:styleId="FooterChar">
    <w:name w:val="Footer Char"/>
    <w:basedOn w:val="DefaultParagraphFont"/>
    <w:link w:val="Footer"/>
    <w:uiPriority w:val="99"/>
    <w:rsid w:val="006D6B8D"/>
    <w:rPr>
      <w:rFonts w:cs="Mangal"/>
      <w:szCs w:val="21"/>
    </w:rPr>
  </w:style>
</w:styles>
</file>

<file path=word/webSettings.xml><?xml version="1.0" encoding="utf-8"?>
<w:webSettings xmlns:mc="http://schemas.openxmlformats.org/markup-compatibility/2006" xmlns:r="http://purl.oclc.org/ooxml/officeDocument/relationships" xmlns:w="http://purl.oclc.org/ooxml/wordprocessingml/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purl.oclc.org/ooxml/officeDocument/relationships/footer" Target="footer1.xml"/><Relationship Id="rId3" Type="http://purl.oclc.org/ooxml/officeDocument/relationships/settings" Target="settings.xml"/><Relationship Id="rId7" Type="http://purl.oclc.org/ooxml/officeDocument/relationships/image" Target="media/image1.png"/><Relationship Id="rId2" Type="http://purl.oclc.org/ooxml/officeDocument/relationships/styles" Target="styles.xml"/><Relationship Id="rId1" Type="http://purl.oclc.org/ooxml/officeDocument/relationships/customXml" Target="../customXml/item1.xml"/><Relationship Id="rId6" Type="http://purl.oclc.org/ooxml/officeDocument/relationships/endnotes" Target="endnotes.xml"/><Relationship Id="rId5" Type="http://purl.oclc.org/ooxml/officeDocument/relationships/footnotes" Target="footnotes.xml"/><Relationship Id="rId10" Type="http://purl.oclc.org/ooxml/officeDocument/relationships/theme" Target="theme/theme1.xml"/><Relationship Id="rId4" Type="http://purl.oclc.org/ooxml/officeDocument/relationships/webSettings" Target="webSettings.xml"/><Relationship Id="rId9" Type="http://purl.oclc.org/ooxml/officeDocument/relationships/fontTable" Target="fontTable.xml"/></Relationships>
</file>

<file path=word/theme/theme1.xml><?xml version="1.0" encoding="utf-8"?>
<a:theme xmlns:a="http://purl.oclc.org/ooxml/drawingml/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
                <a:satMod val="105%"/>
                <a:tint val="67%"/>
              </a:schemeClr>
            </a:gs>
            <a:gs pos="50%">
              <a:schemeClr val="phClr">
                <a:lumMod val="105%"/>
                <a:satMod val="103%"/>
                <a:tint val="73%"/>
              </a:schemeClr>
            </a:gs>
            <a:gs pos="100%">
              <a:schemeClr val="phClr">
                <a:lumMod val="105%"/>
                <a:satMod val="109%"/>
                <a:tint val="81%"/>
              </a:schemeClr>
            </a:gs>
          </a:gsLst>
          <a:lin ang="5400000" scaled="0"/>
        </a:gradFill>
        <a:gradFill rotWithShape="1">
          <a:gsLst>
            <a:gs pos="0%">
              <a:schemeClr val="phClr">
                <a:satMod val="103%"/>
                <a:lumMod val="102%"/>
                <a:tint val="94%"/>
              </a:schemeClr>
            </a:gs>
            <a:gs pos="50%">
              <a:schemeClr val="phClr">
                <a:satMod val="110%"/>
                <a:lumMod val="100%"/>
                <a:shade val="100%"/>
              </a:schemeClr>
            </a:gs>
            <a:gs pos="100%">
              <a:schemeClr val="phClr">
                <a:lumMod val="99%"/>
                <a:satMod val="120%"/>
                <a:shade val="78%"/>
              </a:schemeClr>
            </a:gs>
          </a:gsLst>
          <a:lin ang="5400000" scaled="0"/>
        </a:gradFill>
      </a:fillStyleLst>
      <a:lnStyleLst>
        <a:ln w="6350" cap="flat" cmpd="sng" algn="ctr">
          <a:solidFill>
            <a:schemeClr val="phClr"/>
          </a:solidFill>
          <a:prstDash val="solid"/>
          <a:miter lim="800%"/>
        </a:ln>
        <a:ln w="12700" cap="flat" cmpd="sng" algn="ctr">
          <a:solidFill>
            <a:schemeClr val="phClr"/>
          </a:solidFill>
          <a:prstDash val="solid"/>
          <a:miter lim="800%"/>
        </a:ln>
        <a:ln w="19050" cap="flat" cmpd="sng" algn="ctr">
          <a:solidFill>
            <a:schemeClr val="phClr"/>
          </a:solidFill>
          <a:prstDash val="solid"/>
          <a:miter lim="800%"/>
        </a:ln>
      </a:lnStyleLst>
      <a:effectStyleLst>
        <a:effectStyle>
          <a:effectLst/>
        </a:effectStyle>
        <a:effectStyle>
          <a:effectLst/>
        </a:effectStyle>
        <a:effectStyle>
          <a:effectLst>
            <a:outerShdw blurRad="57150" dist="19050" dir="5400000" algn="ctr" rotWithShape="0">
              <a:srgbClr val="000000">
                <a:alpha val="63%"/>
              </a:srgbClr>
            </a:outerShdw>
          </a:effectLst>
        </a:effectStyle>
      </a:effectStyleLst>
      <a:bgFillStyleLst>
        <a:solidFill>
          <a:schemeClr val="phClr"/>
        </a:solidFill>
        <a:solidFill>
          <a:schemeClr val="phClr">
            <a:tint val="95%"/>
            <a:satMod val="170%"/>
          </a:schemeClr>
        </a:solidFill>
        <a:gradFill rotWithShape="1">
          <a:gsLst>
            <a:gs pos="0%">
              <a:schemeClr val="phClr">
                <a:tint val="93%"/>
                <a:satMod val="150%"/>
                <a:shade val="98%"/>
                <a:lumMod val="102%"/>
              </a:schemeClr>
            </a:gs>
            <a:gs pos="50%">
              <a:schemeClr val="phClr">
                <a:tint val="98%"/>
                <a:satMod val="130%"/>
                <a:shade val="90%"/>
                <a:lumMod val="103%"/>
              </a:schemeClr>
            </a:gs>
            <a:gs pos="100%">
              <a:schemeClr val="phClr">
                <a:shade val="63%"/>
                <a:satMod val="12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purl.oclc.org/ooxml/officeDocument/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purl.oclc.org/ooxml/officeDocument/customXml" ds:itemID="{E2F2E74A-1063-4B76-B4AB-7EFC1AEE1947}">
  <ds:schemaRefs>
    <ds:schemaRef ds:uri="http://schemas.openxmlformats.org/officeDocument/2006/bibliography"/>
  </ds:schemaRefs>
</ds:datastoreItem>
</file>

<file path=docProps/app.xml><?xml version="1.0" encoding="utf-8"?>
<Properties xmlns="http://purl.oclc.org/ooxml/officeDocument/extendedProperties" xmlns:vt="http://purl.oclc.org/ooxml/officeDocument/docPropsVTypes">
  <Template>Normal.dotm</Template>
  <TotalTime>118</TotalTime>
  <Pages>20</Pages>
  <Words>5232</Words>
  <Characters>30875</Characters>
  <Application>Microsoft Office Word</Application>
  <DocSecurity>0</DocSecurity>
  <Lines>257</Lines>
  <Paragraphs>72</Paragraphs>
  <ScaleCrop>false</ScaleCrop>
  <HeadingPairs>
    <vt:vector size="2" baseType="variant">
      <vt:variant>
        <vt:lpstr>Title</vt:lpstr>
      </vt:variant>
      <vt:variant>
        <vt:i4>1</vt:i4>
      </vt:variant>
    </vt:vector>
  </HeadingPairs>
  <TitlesOfParts>
    <vt:vector size="1" baseType="lpstr">
      <vt:lpstr/>
    </vt:vector>
  </TitlesOfParts>
  <Company>Univerzita Pardubice</Company>
  <LinksUpToDate>false</LinksUpToDate>
  <CharactersWithSpaces>36035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Zeman Vladimir</dc:creator>
  <cp:lastModifiedBy>Zeman Vladimir</cp:lastModifiedBy>
  <cp:revision>6</cp:revision>
  <dcterms:created xsi:type="dcterms:W3CDTF">2019-08-21T10:41:00Z</dcterms:created>
  <dcterms:modified xsi:type="dcterms:W3CDTF">2019-08-27T09:21:00Z</dcterms:modified>
</cp:coreProperties>
</file>