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789" w:rsidRPr="00CA6939" w:rsidRDefault="004E0C64" w:rsidP="009828DF">
      <w:pPr>
        <w:pStyle w:val="Nadpis1"/>
        <w:rPr>
          <w:lang w:val="en-US"/>
        </w:rPr>
      </w:pPr>
      <w:r w:rsidRPr="00CA6939">
        <w:rPr>
          <w:lang w:val="en-US"/>
        </w:rPr>
        <w:t xml:space="preserve">Measuring </w:t>
      </w:r>
      <w:r w:rsidR="005D4EE1" w:rsidRPr="00CA6939">
        <w:rPr>
          <w:lang w:val="en-US"/>
        </w:rPr>
        <w:t>the</w:t>
      </w:r>
      <w:r w:rsidRPr="00CA6939">
        <w:rPr>
          <w:lang w:val="en-US"/>
        </w:rPr>
        <w:t xml:space="preserve"> </w:t>
      </w:r>
      <w:r w:rsidR="0083221E" w:rsidRPr="00CA6939">
        <w:rPr>
          <w:lang w:val="en-US"/>
        </w:rPr>
        <w:t xml:space="preserve">Effects </w:t>
      </w:r>
      <w:r w:rsidRPr="00CA6939">
        <w:rPr>
          <w:lang w:val="en-US"/>
        </w:rPr>
        <w:t>of Open Data</w:t>
      </w:r>
      <w:r w:rsidR="005D4EE1" w:rsidRPr="00CA6939">
        <w:rPr>
          <w:lang w:val="en-US"/>
        </w:rPr>
        <w:t xml:space="preserve"> on the Level of Corruption</w:t>
      </w:r>
    </w:p>
    <w:p w:rsidR="00B76426" w:rsidRPr="00CA6939" w:rsidRDefault="00B76426" w:rsidP="00B76426">
      <w:pPr>
        <w:tabs>
          <w:tab w:val="center" w:pos="4365"/>
          <w:tab w:val="left" w:pos="5995"/>
        </w:tabs>
        <w:rPr>
          <w:rFonts w:ascii="Arial" w:hAnsi="Arial" w:cs="Arial"/>
          <w:i/>
          <w:sz w:val="16"/>
          <w:lang w:val="en-US" w:eastAsia="zh-CN"/>
        </w:rPr>
      </w:pPr>
    </w:p>
    <w:p w:rsidR="00B76426" w:rsidRPr="00CA6939" w:rsidRDefault="00B76426" w:rsidP="00B76426">
      <w:pPr>
        <w:jc w:val="center"/>
        <w:rPr>
          <w:lang w:val="en-US" w:eastAsia="zh-CN"/>
        </w:rPr>
      </w:pPr>
    </w:p>
    <w:p w:rsidR="00B76426" w:rsidRPr="00CA6939" w:rsidRDefault="00B76426" w:rsidP="00D26C59">
      <w:pPr>
        <w:pStyle w:val="Els-Abstract-head"/>
        <w:spacing w:after="120"/>
        <w:rPr>
          <w:rFonts w:ascii="Arial" w:hAnsi="Arial" w:cs="Arial"/>
        </w:rPr>
      </w:pPr>
      <w:r w:rsidRPr="00CA6939">
        <w:rPr>
          <w:rFonts w:ascii="Arial" w:hAnsi="Arial" w:cs="Arial"/>
          <w:sz w:val="20"/>
        </w:rPr>
        <w:t>Abstract</w:t>
      </w:r>
    </w:p>
    <w:p w:rsidR="00D628B3" w:rsidRPr="00CA6939" w:rsidRDefault="00267F17" w:rsidP="00CA458B">
      <w:pPr>
        <w:pStyle w:val="Els-Abstract-text"/>
        <w:rPr>
          <w:rFonts w:ascii="Cambria" w:hAnsi="Cambria"/>
          <w:sz w:val="20"/>
        </w:rPr>
      </w:pPr>
      <w:r w:rsidRPr="00CA6939">
        <w:rPr>
          <w:rFonts w:ascii="Cambria" w:hAnsi="Cambria"/>
          <w:sz w:val="20"/>
        </w:rPr>
        <w:t>The Open G</w:t>
      </w:r>
      <w:r w:rsidR="004E0C64" w:rsidRPr="00CA6939">
        <w:rPr>
          <w:rFonts w:ascii="Cambria" w:hAnsi="Cambria"/>
          <w:sz w:val="20"/>
        </w:rPr>
        <w:t xml:space="preserve">overnment movement has been building around the world </w:t>
      </w:r>
      <w:r w:rsidR="00A85228" w:rsidRPr="00CA6939">
        <w:rPr>
          <w:rFonts w:ascii="Cambria" w:hAnsi="Cambria"/>
          <w:sz w:val="20"/>
        </w:rPr>
        <w:t>with the primary aim to enhance</w:t>
      </w:r>
      <w:r w:rsidR="004E0C64" w:rsidRPr="00CA6939">
        <w:rPr>
          <w:rFonts w:ascii="Cambria" w:hAnsi="Cambria"/>
          <w:sz w:val="20"/>
        </w:rPr>
        <w:t xml:space="preserve"> the availability of </w:t>
      </w:r>
      <w:r w:rsidR="00A85228" w:rsidRPr="00CA6939">
        <w:rPr>
          <w:rFonts w:ascii="Cambria" w:hAnsi="Cambria"/>
          <w:sz w:val="20"/>
        </w:rPr>
        <w:t xml:space="preserve">public </w:t>
      </w:r>
      <w:r w:rsidR="004E0C64" w:rsidRPr="00CA6939">
        <w:rPr>
          <w:rFonts w:ascii="Cambria" w:hAnsi="Cambria"/>
          <w:sz w:val="20"/>
        </w:rPr>
        <w:t>data</w:t>
      </w:r>
      <w:r w:rsidR="00A85228" w:rsidRPr="00CA6939">
        <w:rPr>
          <w:rFonts w:ascii="Cambria" w:hAnsi="Cambria"/>
          <w:sz w:val="20"/>
        </w:rPr>
        <w:t xml:space="preserve"> and increase the government's </w:t>
      </w:r>
      <w:r w:rsidR="009B1541" w:rsidRPr="00CA6939">
        <w:rPr>
          <w:rFonts w:ascii="Cambria" w:hAnsi="Cambria"/>
          <w:sz w:val="20"/>
        </w:rPr>
        <w:t>transparency and accountability</w:t>
      </w:r>
      <w:r w:rsidR="00A85228" w:rsidRPr="00CA6939">
        <w:rPr>
          <w:rFonts w:ascii="Cambria" w:hAnsi="Cambria"/>
          <w:sz w:val="20"/>
        </w:rPr>
        <w:t>.</w:t>
      </w:r>
      <w:r w:rsidR="00CA458B" w:rsidRPr="00CA6939">
        <w:rPr>
          <w:rFonts w:ascii="Cambria" w:hAnsi="Cambria"/>
          <w:sz w:val="20"/>
        </w:rPr>
        <w:t xml:space="preserve"> </w:t>
      </w:r>
      <w:r w:rsidR="00B8624D" w:rsidRPr="00CA6939">
        <w:rPr>
          <w:rFonts w:ascii="Cambria" w:hAnsi="Cambria"/>
          <w:sz w:val="20"/>
        </w:rPr>
        <w:t>Theories of corruption</w:t>
      </w:r>
      <w:r w:rsidR="009B1541" w:rsidRPr="00CA6939">
        <w:rPr>
          <w:rFonts w:ascii="Cambria" w:hAnsi="Cambria"/>
          <w:sz w:val="20"/>
        </w:rPr>
        <w:t xml:space="preserve"> then</w:t>
      </w:r>
      <w:r w:rsidR="00B8624D" w:rsidRPr="00CA6939">
        <w:rPr>
          <w:rFonts w:ascii="Cambria" w:hAnsi="Cambria"/>
          <w:sz w:val="20"/>
        </w:rPr>
        <w:t xml:space="preserve"> suggest that higher levels of transparency are associated with lower levels of corruption</w:t>
      </w:r>
      <w:r w:rsidR="009B1541" w:rsidRPr="00CA6939">
        <w:rPr>
          <w:rFonts w:ascii="Cambria" w:hAnsi="Cambria"/>
          <w:sz w:val="20"/>
        </w:rPr>
        <w:t>.</w:t>
      </w:r>
      <w:r w:rsidR="00B8624D" w:rsidRPr="00CA6939">
        <w:rPr>
          <w:rFonts w:ascii="Cambria" w:hAnsi="Cambria"/>
          <w:sz w:val="20"/>
        </w:rPr>
        <w:t xml:space="preserve"> </w:t>
      </w:r>
      <w:r w:rsidR="009B1541" w:rsidRPr="00CA6939">
        <w:rPr>
          <w:rFonts w:ascii="Cambria" w:hAnsi="Cambria"/>
          <w:sz w:val="20"/>
        </w:rPr>
        <w:t>Th</w:t>
      </w:r>
      <w:r w:rsidR="009E618F" w:rsidRPr="00CA6939">
        <w:rPr>
          <w:rFonts w:ascii="Cambria" w:hAnsi="Cambria"/>
          <w:sz w:val="20"/>
        </w:rPr>
        <w:t>us</w:t>
      </w:r>
      <w:r w:rsidR="009B1541" w:rsidRPr="00CA6939">
        <w:rPr>
          <w:rFonts w:ascii="Cambria" w:hAnsi="Cambria"/>
          <w:sz w:val="20"/>
        </w:rPr>
        <w:t>, t</w:t>
      </w:r>
      <w:r w:rsidR="00CA458B" w:rsidRPr="00CA6939">
        <w:rPr>
          <w:rFonts w:ascii="Cambria" w:hAnsi="Cambria"/>
          <w:sz w:val="20"/>
        </w:rPr>
        <w:t xml:space="preserve">his paper is focused on the potential </w:t>
      </w:r>
      <w:r w:rsidR="009E618F" w:rsidRPr="00CA6939">
        <w:rPr>
          <w:rFonts w:ascii="Cambria" w:hAnsi="Cambria"/>
          <w:sz w:val="20"/>
        </w:rPr>
        <w:t>effects</w:t>
      </w:r>
      <w:r w:rsidR="00CA458B" w:rsidRPr="00CA6939">
        <w:rPr>
          <w:rFonts w:ascii="Cambria" w:hAnsi="Cambria"/>
          <w:sz w:val="20"/>
        </w:rPr>
        <w:t xml:space="preserve"> of open data in reducing the level of corruption.</w:t>
      </w:r>
      <w:r w:rsidR="005D05E4" w:rsidRPr="00CA6939">
        <w:rPr>
          <w:rFonts w:ascii="Cambria" w:hAnsi="Cambria"/>
          <w:sz w:val="20"/>
        </w:rPr>
        <w:t xml:space="preserve"> </w:t>
      </w:r>
      <w:r w:rsidR="009B1541" w:rsidRPr="00CA6939">
        <w:rPr>
          <w:rFonts w:ascii="Cambria" w:hAnsi="Cambria"/>
          <w:sz w:val="20"/>
        </w:rPr>
        <w:t xml:space="preserve">For this purpose, different </w:t>
      </w:r>
      <w:r w:rsidR="007A209B" w:rsidRPr="00CA6939">
        <w:rPr>
          <w:rFonts w:ascii="Cambria" w:hAnsi="Cambria"/>
          <w:sz w:val="20"/>
        </w:rPr>
        <w:t xml:space="preserve">related </w:t>
      </w:r>
      <w:r w:rsidR="009B1541" w:rsidRPr="00CA6939">
        <w:rPr>
          <w:rFonts w:ascii="Cambria" w:hAnsi="Cambria"/>
          <w:sz w:val="20"/>
        </w:rPr>
        <w:t xml:space="preserve">open data and corruption indices from two different time periods are examined. </w:t>
      </w:r>
      <w:r w:rsidR="00FB02EA">
        <w:rPr>
          <w:rFonts w:ascii="Cambria" w:hAnsi="Cambria"/>
          <w:sz w:val="20"/>
        </w:rPr>
        <w:t>In contrast to previous studies, the use of open data indices to verify this relationship is new in research on e-government development.</w:t>
      </w:r>
      <w:r w:rsidR="00FB02EA" w:rsidRPr="00FB02EA">
        <w:rPr>
          <w:rFonts w:ascii="Cambria" w:hAnsi="Cambria"/>
          <w:sz w:val="20"/>
        </w:rPr>
        <w:t xml:space="preserve"> </w:t>
      </w:r>
      <w:r w:rsidR="005D05E4" w:rsidRPr="00CA6939">
        <w:rPr>
          <w:rFonts w:ascii="Cambria" w:hAnsi="Cambria"/>
          <w:sz w:val="20"/>
        </w:rPr>
        <w:t xml:space="preserve">Findings indicate that </w:t>
      </w:r>
      <w:r w:rsidR="007A209B" w:rsidRPr="00CA6939">
        <w:rPr>
          <w:rFonts w:ascii="Cambria" w:hAnsi="Cambria"/>
          <w:sz w:val="20"/>
        </w:rPr>
        <w:t xml:space="preserve">there is a </w:t>
      </w:r>
      <w:r w:rsidR="00552BE5">
        <w:rPr>
          <w:rFonts w:ascii="Cambria" w:hAnsi="Cambria"/>
          <w:sz w:val="20"/>
        </w:rPr>
        <w:t xml:space="preserve">positive correlation </w:t>
      </w:r>
      <w:r w:rsidR="007A209B" w:rsidRPr="00CA6939">
        <w:rPr>
          <w:rFonts w:ascii="Cambria" w:hAnsi="Cambria"/>
          <w:sz w:val="20"/>
        </w:rPr>
        <w:t xml:space="preserve">relationship between </w:t>
      </w:r>
      <w:r w:rsidR="00552BE5">
        <w:rPr>
          <w:rFonts w:ascii="Cambria" w:hAnsi="Cambria"/>
          <w:sz w:val="20"/>
        </w:rPr>
        <w:t xml:space="preserve">selected corruption and open data indices. Thus, </w:t>
      </w:r>
      <w:r w:rsidR="00552BE5" w:rsidRPr="00552BE5">
        <w:rPr>
          <w:rFonts w:ascii="Cambria" w:hAnsi="Cambria"/>
          <w:sz w:val="20"/>
        </w:rPr>
        <w:t xml:space="preserve">higher levels of </w:t>
      </w:r>
      <w:r w:rsidR="00552BE5" w:rsidRPr="00CA6939">
        <w:rPr>
          <w:rFonts w:ascii="Cambria" w:hAnsi="Cambria"/>
          <w:sz w:val="20"/>
        </w:rPr>
        <w:t>open data availability</w:t>
      </w:r>
      <w:r w:rsidR="00552BE5" w:rsidRPr="00552BE5">
        <w:rPr>
          <w:rFonts w:ascii="Cambria" w:hAnsi="Cambria"/>
          <w:sz w:val="20"/>
        </w:rPr>
        <w:t xml:space="preserve"> are associated w</w:t>
      </w:r>
      <w:r w:rsidR="00552BE5">
        <w:rPr>
          <w:rFonts w:ascii="Cambria" w:hAnsi="Cambria"/>
          <w:sz w:val="20"/>
        </w:rPr>
        <w:t xml:space="preserve">ith lower levels of corruption </w:t>
      </w:r>
      <w:r w:rsidR="007A209B" w:rsidRPr="00CA6939">
        <w:rPr>
          <w:rFonts w:ascii="Cambria" w:hAnsi="Cambria"/>
          <w:sz w:val="20"/>
        </w:rPr>
        <w:t xml:space="preserve">in the compared countries, especially in the case of Open Data Barometer index. </w:t>
      </w:r>
      <w:r w:rsidR="004E7EB1" w:rsidRPr="00CA6939">
        <w:rPr>
          <w:rFonts w:ascii="Cambria" w:hAnsi="Cambria"/>
          <w:sz w:val="20"/>
        </w:rPr>
        <w:t xml:space="preserve">It was also found out that the </w:t>
      </w:r>
      <w:r w:rsidR="00552BE5">
        <w:rPr>
          <w:rFonts w:ascii="Cambria" w:hAnsi="Cambria"/>
          <w:sz w:val="20"/>
        </w:rPr>
        <w:t>methodologies</w:t>
      </w:r>
      <w:r w:rsidR="007A209B" w:rsidRPr="00CA6939">
        <w:rPr>
          <w:rFonts w:ascii="Cambria" w:hAnsi="Cambria"/>
          <w:sz w:val="20"/>
        </w:rPr>
        <w:t xml:space="preserve"> </w:t>
      </w:r>
      <w:r w:rsidR="004E7EB1" w:rsidRPr="00CA6939">
        <w:rPr>
          <w:rFonts w:ascii="Cambria" w:hAnsi="Cambria"/>
          <w:sz w:val="20"/>
        </w:rPr>
        <w:t>behind open</w:t>
      </w:r>
      <w:r w:rsidR="007A209B" w:rsidRPr="00CA6939">
        <w:rPr>
          <w:rFonts w:ascii="Cambria" w:hAnsi="Cambria"/>
          <w:sz w:val="20"/>
        </w:rPr>
        <w:t xml:space="preserve"> data </w:t>
      </w:r>
      <w:r w:rsidR="004E7EB1" w:rsidRPr="00CA6939">
        <w:rPr>
          <w:rFonts w:ascii="Cambria" w:hAnsi="Cambria"/>
          <w:sz w:val="20"/>
        </w:rPr>
        <w:t xml:space="preserve">indices may affect the results, because </w:t>
      </w:r>
      <w:r w:rsidR="00552BE5">
        <w:rPr>
          <w:rFonts w:ascii="Cambria" w:hAnsi="Cambria"/>
          <w:sz w:val="20"/>
        </w:rPr>
        <w:t>they are</w:t>
      </w:r>
      <w:r w:rsidR="004E7EB1" w:rsidRPr="00CA6939">
        <w:rPr>
          <w:rFonts w:ascii="Cambria" w:hAnsi="Cambria"/>
          <w:sz w:val="20"/>
        </w:rPr>
        <w:t xml:space="preserve"> still evolving due to the increasing effects of open data in the society.</w:t>
      </w:r>
    </w:p>
    <w:p w:rsidR="00B76426" w:rsidRPr="00CA6939" w:rsidRDefault="00B76426" w:rsidP="00B76426">
      <w:pPr>
        <w:rPr>
          <w:lang w:val="en-US"/>
        </w:rPr>
      </w:pPr>
    </w:p>
    <w:p w:rsidR="004E0C64" w:rsidRPr="00CA6939" w:rsidRDefault="004E0C64" w:rsidP="004E0C64">
      <w:pPr>
        <w:pStyle w:val="Els-keywords"/>
        <w:pBdr>
          <w:bottom w:val="none" w:sz="0" w:space="0" w:color="auto"/>
        </w:pBdr>
        <w:rPr>
          <w:rFonts w:ascii="Cambria" w:hAnsi="Cambria"/>
          <w:noProof w:val="0"/>
        </w:rPr>
      </w:pPr>
      <w:r w:rsidRPr="00CA6939">
        <w:rPr>
          <w:rFonts w:ascii="Cambria" w:hAnsi="Cambria"/>
          <w:i/>
          <w:noProof w:val="0"/>
        </w:rPr>
        <w:t>Keywords</w:t>
      </w:r>
      <w:r w:rsidRPr="00CA6939">
        <w:rPr>
          <w:rFonts w:ascii="Cambria" w:hAnsi="Cambria"/>
          <w:noProof w:val="0"/>
        </w:rPr>
        <w:t xml:space="preserve">: </w:t>
      </w:r>
      <w:r w:rsidR="00D440E3">
        <w:rPr>
          <w:rFonts w:ascii="Cambria" w:hAnsi="Cambria"/>
          <w:noProof w:val="0"/>
        </w:rPr>
        <w:t>o</w:t>
      </w:r>
      <w:r w:rsidRPr="00CA6939">
        <w:rPr>
          <w:rFonts w:ascii="Cambria" w:hAnsi="Cambria"/>
          <w:noProof w:val="0"/>
        </w:rPr>
        <w:t xml:space="preserve">pen data; </w:t>
      </w:r>
      <w:r w:rsidR="009B1541" w:rsidRPr="00CA6939">
        <w:rPr>
          <w:rFonts w:ascii="Cambria" w:hAnsi="Cambria"/>
          <w:noProof w:val="0"/>
        </w:rPr>
        <w:t>corrupt</w:t>
      </w:r>
      <w:r w:rsidR="00521B2B">
        <w:rPr>
          <w:rFonts w:ascii="Cambria" w:hAnsi="Cambria"/>
          <w:noProof w:val="0"/>
        </w:rPr>
        <w:t>ion;</w:t>
      </w:r>
      <w:r w:rsidR="009B1541" w:rsidRPr="00CA6939">
        <w:rPr>
          <w:rFonts w:ascii="Cambria" w:hAnsi="Cambria"/>
          <w:noProof w:val="0"/>
        </w:rPr>
        <w:t xml:space="preserve"> indices; </w:t>
      </w:r>
      <w:r w:rsidR="00DF5331" w:rsidRPr="00CA6939">
        <w:rPr>
          <w:rFonts w:ascii="Cambria" w:hAnsi="Cambria"/>
          <w:noProof w:val="0"/>
        </w:rPr>
        <w:t>correlation analysis; regression analysis</w:t>
      </w:r>
    </w:p>
    <w:p w:rsidR="00D628B3" w:rsidRPr="00CA6939" w:rsidRDefault="00D628B3" w:rsidP="00D628B3">
      <w:pPr>
        <w:pBdr>
          <w:bottom w:val="single" w:sz="4" w:space="1" w:color="auto"/>
        </w:pBdr>
        <w:ind w:firstLine="0"/>
        <w:rPr>
          <w:sz w:val="20"/>
          <w:lang w:val="en-US" w:eastAsia="en-US"/>
        </w:rPr>
      </w:pPr>
      <w:r w:rsidRPr="00CA6939">
        <w:rPr>
          <w:sz w:val="20"/>
          <w:lang w:val="en-US" w:eastAsia="en-US"/>
        </w:rPr>
        <w:t>JEL Classification:</w:t>
      </w:r>
      <w:r w:rsidR="004E0C64" w:rsidRPr="00CA6939">
        <w:rPr>
          <w:sz w:val="20"/>
          <w:lang w:val="en-US" w:eastAsia="en-US"/>
        </w:rPr>
        <w:t xml:space="preserve"> </w:t>
      </w:r>
      <w:r w:rsidR="00B8624D" w:rsidRPr="00CA6939">
        <w:rPr>
          <w:sz w:val="20"/>
          <w:lang w:val="en-US" w:eastAsia="en-US"/>
        </w:rPr>
        <w:t>D73, H11</w:t>
      </w:r>
      <w:r w:rsidR="004E0C64" w:rsidRPr="00CA6939">
        <w:rPr>
          <w:sz w:val="20"/>
          <w:lang w:val="en-US" w:eastAsia="en-US"/>
        </w:rPr>
        <w:t>, L86</w:t>
      </w:r>
    </w:p>
    <w:p w:rsidR="00525060" w:rsidRPr="00CA6939" w:rsidRDefault="00525060" w:rsidP="00D628B3">
      <w:pPr>
        <w:pBdr>
          <w:bottom w:val="single" w:sz="4" w:space="1" w:color="auto"/>
        </w:pBdr>
        <w:ind w:firstLine="0"/>
        <w:rPr>
          <w:lang w:val="en-US" w:eastAsia="en-US"/>
        </w:rPr>
      </w:pPr>
    </w:p>
    <w:p w:rsidR="000505F9" w:rsidRPr="00CA6939" w:rsidRDefault="00A85228" w:rsidP="00C84ACD">
      <w:pPr>
        <w:pStyle w:val="Nadpis2"/>
      </w:pPr>
      <w:r w:rsidRPr="00C84ACD">
        <w:t>Introduction</w:t>
      </w:r>
    </w:p>
    <w:p w:rsidR="00CB7C1D" w:rsidRPr="00CA6939" w:rsidRDefault="00716914" w:rsidP="00571630">
      <w:pPr>
        <w:rPr>
          <w:lang w:val="en-US"/>
        </w:rPr>
      </w:pPr>
      <w:r w:rsidRPr="00CA6939">
        <w:rPr>
          <w:lang w:val="en-US"/>
        </w:rPr>
        <w:t>In recent years, transparency has become an integral part of a broader Open Government movement</w:t>
      </w:r>
      <w:r w:rsidR="009A0C98" w:rsidRPr="00CA6939">
        <w:rPr>
          <w:lang w:val="en-US"/>
        </w:rPr>
        <w:t xml:space="preserve"> in which the government acts as an open system and interacts with its environment</w:t>
      </w:r>
      <w:r w:rsidR="0080308C">
        <w:rPr>
          <w:lang w:val="en-US"/>
        </w:rPr>
        <w:t xml:space="preserve"> </w:t>
      </w:r>
      <w:r w:rsidR="0080308C">
        <w:rPr>
          <w:lang w:val="en-US"/>
        </w:rPr>
        <w:fldChar w:fldCharType="begin"/>
      </w:r>
      <w:r w:rsidR="0080308C">
        <w:rPr>
          <w:lang w:val="en-US"/>
        </w:rPr>
        <w:instrText xml:space="preserve"> REF _Ref465774375 \r \h </w:instrText>
      </w:r>
      <w:r w:rsidR="0080308C">
        <w:rPr>
          <w:lang w:val="en-US"/>
        </w:rPr>
      </w:r>
      <w:r w:rsidR="0080308C">
        <w:rPr>
          <w:lang w:val="en-US"/>
        </w:rPr>
        <w:fldChar w:fldCharType="separate"/>
      </w:r>
      <w:r w:rsidR="00503208">
        <w:rPr>
          <w:lang w:val="en-US"/>
        </w:rPr>
        <w:t>[7]</w:t>
      </w:r>
      <w:r w:rsidR="0080308C">
        <w:rPr>
          <w:lang w:val="en-US"/>
        </w:rPr>
        <w:fldChar w:fldCharType="end"/>
      </w:r>
      <w:r w:rsidR="00571630" w:rsidRPr="00CA6939">
        <w:rPr>
          <w:lang w:val="en-US"/>
        </w:rPr>
        <w:t xml:space="preserve">, </w:t>
      </w:r>
      <w:r w:rsidR="00571630" w:rsidRPr="00CA6939">
        <w:rPr>
          <w:lang w:val="en-US"/>
        </w:rPr>
        <w:fldChar w:fldCharType="begin"/>
      </w:r>
      <w:r w:rsidR="00571630" w:rsidRPr="00CA6939">
        <w:rPr>
          <w:lang w:val="en-US"/>
        </w:rPr>
        <w:instrText xml:space="preserve"> REF _Ref458929579 \r \h </w:instrText>
      </w:r>
      <w:r w:rsidR="00571630" w:rsidRPr="00CA6939">
        <w:rPr>
          <w:lang w:val="en-US"/>
        </w:rPr>
      </w:r>
      <w:r w:rsidR="00571630" w:rsidRPr="00CA6939">
        <w:rPr>
          <w:lang w:val="en-US"/>
        </w:rPr>
        <w:fldChar w:fldCharType="separate"/>
      </w:r>
      <w:r w:rsidR="00503208">
        <w:rPr>
          <w:lang w:val="en-US"/>
        </w:rPr>
        <w:t>[13]</w:t>
      </w:r>
      <w:r w:rsidR="00571630" w:rsidRPr="00CA6939">
        <w:rPr>
          <w:lang w:val="en-US"/>
        </w:rPr>
        <w:fldChar w:fldCharType="end"/>
      </w:r>
      <w:r w:rsidRPr="00CA6939">
        <w:rPr>
          <w:lang w:val="en-US"/>
        </w:rPr>
        <w:t xml:space="preserve">. </w:t>
      </w:r>
      <w:r w:rsidR="00842408" w:rsidRPr="00CA6939">
        <w:rPr>
          <w:lang w:val="en-US"/>
        </w:rPr>
        <w:t xml:space="preserve">Fighting corruption is a very challenging and difficult. Negative effects on development of gross domestic product, unemployment rate or credibility of the country discouraging foreign investors have been shown as a result of corruption </w:t>
      </w:r>
      <w:r w:rsidR="00842408" w:rsidRPr="00CA6939">
        <w:rPr>
          <w:lang w:val="en-US"/>
        </w:rPr>
        <w:fldChar w:fldCharType="begin"/>
      </w:r>
      <w:r w:rsidR="00842408" w:rsidRPr="00CA6939">
        <w:rPr>
          <w:lang w:val="en-US"/>
        </w:rPr>
        <w:instrText xml:space="preserve"> REF _Ref458850668 \r \h </w:instrText>
      </w:r>
      <w:r w:rsidR="00842408" w:rsidRPr="00CA6939">
        <w:rPr>
          <w:lang w:val="en-US"/>
        </w:rPr>
      </w:r>
      <w:r w:rsidR="00842408" w:rsidRPr="00CA6939">
        <w:rPr>
          <w:lang w:val="en-US"/>
        </w:rPr>
        <w:fldChar w:fldCharType="separate"/>
      </w:r>
      <w:r w:rsidR="00503208">
        <w:rPr>
          <w:lang w:val="en-US"/>
        </w:rPr>
        <w:t>[3]</w:t>
      </w:r>
      <w:r w:rsidR="00842408" w:rsidRPr="00CA6939">
        <w:rPr>
          <w:lang w:val="en-US"/>
        </w:rPr>
        <w:fldChar w:fldCharType="end"/>
      </w:r>
      <w:r w:rsidR="00492718" w:rsidRPr="00CA6939">
        <w:rPr>
          <w:lang w:val="en-US"/>
        </w:rPr>
        <w:t xml:space="preserve">, </w:t>
      </w:r>
      <w:r w:rsidR="008F490E" w:rsidRPr="00CA6939">
        <w:rPr>
          <w:lang w:val="en-US"/>
        </w:rPr>
        <w:fldChar w:fldCharType="begin"/>
      </w:r>
      <w:r w:rsidR="008F490E" w:rsidRPr="00CA6939">
        <w:rPr>
          <w:lang w:val="en-US"/>
        </w:rPr>
        <w:instrText xml:space="preserve"> REF _Ref459283970 \r \h </w:instrText>
      </w:r>
      <w:r w:rsidR="008F490E" w:rsidRPr="00CA6939">
        <w:rPr>
          <w:lang w:val="en-US"/>
        </w:rPr>
      </w:r>
      <w:r w:rsidR="008F490E" w:rsidRPr="00CA6939">
        <w:rPr>
          <w:lang w:val="en-US"/>
        </w:rPr>
        <w:fldChar w:fldCharType="separate"/>
      </w:r>
      <w:r w:rsidR="00503208">
        <w:rPr>
          <w:lang w:val="en-US"/>
        </w:rPr>
        <w:t>[9]</w:t>
      </w:r>
      <w:r w:rsidR="008F490E" w:rsidRPr="00CA6939">
        <w:rPr>
          <w:lang w:val="en-US"/>
        </w:rPr>
        <w:fldChar w:fldCharType="end"/>
      </w:r>
      <w:r w:rsidR="008F490E" w:rsidRPr="00CA6939">
        <w:rPr>
          <w:lang w:val="en-US"/>
        </w:rPr>
        <w:t xml:space="preserve">, </w:t>
      </w:r>
      <w:r w:rsidR="00492718" w:rsidRPr="00CA6939">
        <w:rPr>
          <w:lang w:val="en-US"/>
        </w:rPr>
        <w:fldChar w:fldCharType="begin"/>
      </w:r>
      <w:r w:rsidR="00492718" w:rsidRPr="00CA6939">
        <w:rPr>
          <w:lang w:val="en-US"/>
        </w:rPr>
        <w:instrText xml:space="preserve"> REF _Ref459279143 \r \h </w:instrText>
      </w:r>
      <w:r w:rsidR="00492718" w:rsidRPr="00CA6939">
        <w:rPr>
          <w:lang w:val="en-US"/>
        </w:rPr>
      </w:r>
      <w:r w:rsidR="00492718" w:rsidRPr="00CA6939">
        <w:rPr>
          <w:lang w:val="en-US"/>
        </w:rPr>
        <w:fldChar w:fldCharType="separate"/>
      </w:r>
      <w:r w:rsidR="00503208">
        <w:rPr>
          <w:lang w:val="en-US"/>
        </w:rPr>
        <w:t>[11]</w:t>
      </w:r>
      <w:r w:rsidR="00492718" w:rsidRPr="00CA6939">
        <w:rPr>
          <w:lang w:val="en-US"/>
        </w:rPr>
        <w:fldChar w:fldCharType="end"/>
      </w:r>
      <w:r w:rsidR="00842408" w:rsidRPr="00CA6939">
        <w:rPr>
          <w:lang w:val="en-US"/>
        </w:rPr>
        <w:t xml:space="preserve">. </w:t>
      </w:r>
      <w:r w:rsidR="00E66DED" w:rsidRPr="00CA6939">
        <w:rPr>
          <w:lang w:val="en-US"/>
        </w:rPr>
        <w:t>There can be found a number of anti-corruption initiatives around the world that promote greater transparency and openness</w:t>
      </w:r>
      <w:r w:rsidRPr="00CA6939">
        <w:rPr>
          <w:lang w:val="en-US"/>
        </w:rPr>
        <w:t xml:space="preserve"> with the aim to reduce corruption</w:t>
      </w:r>
      <w:r w:rsidR="00492718" w:rsidRPr="00CA6939">
        <w:rPr>
          <w:lang w:val="en-US"/>
        </w:rPr>
        <w:t>, increase government accountability and improve the quality of public services</w:t>
      </w:r>
      <w:r w:rsidR="00842408" w:rsidRPr="00CA6939">
        <w:rPr>
          <w:lang w:val="en-US"/>
        </w:rPr>
        <w:t xml:space="preserve"> </w:t>
      </w:r>
      <w:r w:rsidR="00842408" w:rsidRPr="00CA6939">
        <w:rPr>
          <w:lang w:val="en-US"/>
        </w:rPr>
        <w:fldChar w:fldCharType="begin"/>
      </w:r>
      <w:r w:rsidR="00842408" w:rsidRPr="00CA6939">
        <w:rPr>
          <w:lang w:val="en-US"/>
        </w:rPr>
        <w:instrText xml:space="preserve"> REF _Ref458850994 \r \h </w:instrText>
      </w:r>
      <w:r w:rsidR="00842408" w:rsidRPr="00CA6939">
        <w:rPr>
          <w:lang w:val="en-US"/>
        </w:rPr>
      </w:r>
      <w:r w:rsidR="00842408" w:rsidRPr="00CA6939">
        <w:rPr>
          <w:lang w:val="en-US"/>
        </w:rPr>
        <w:fldChar w:fldCharType="separate"/>
      </w:r>
      <w:r w:rsidR="00503208">
        <w:rPr>
          <w:lang w:val="en-US"/>
        </w:rPr>
        <w:t>[4]</w:t>
      </w:r>
      <w:r w:rsidR="00842408" w:rsidRPr="00CA6939">
        <w:rPr>
          <w:lang w:val="en-US"/>
        </w:rPr>
        <w:fldChar w:fldCharType="end"/>
      </w:r>
      <w:r w:rsidR="00571630" w:rsidRPr="00CA6939">
        <w:rPr>
          <w:lang w:val="en-US"/>
        </w:rPr>
        <w:t xml:space="preserve">, </w:t>
      </w:r>
      <w:r w:rsidR="00571630" w:rsidRPr="00CA6939">
        <w:rPr>
          <w:lang w:val="en-US"/>
        </w:rPr>
        <w:fldChar w:fldCharType="begin"/>
      </w:r>
      <w:r w:rsidR="00571630" w:rsidRPr="00CA6939">
        <w:rPr>
          <w:lang w:val="en-US"/>
        </w:rPr>
        <w:instrText xml:space="preserve"> REF _Ref458929579 \r \h </w:instrText>
      </w:r>
      <w:r w:rsidR="00571630" w:rsidRPr="00CA6939">
        <w:rPr>
          <w:lang w:val="en-US"/>
        </w:rPr>
      </w:r>
      <w:r w:rsidR="00571630" w:rsidRPr="00CA6939">
        <w:rPr>
          <w:lang w:val="en-US"/>
        </w:rPr>
        <w:fldChar w:fldCharType="separate"/>
      </w:r>
      <w:r w:rsidR="00503208">
        <w:rPr>
          <w:lang w:val="en-US"/>
        </w:rPr>
        <w:t>[13]</w:t>
      </w:r>
      <w:r w:rsidR="00571630" w:rsidRPr="00CA6939">
        <w:rPr>
          <w:lang w:val="en-US"/>
        </w:rPr>
        <w:fldChar w:fldCharType="end"/>
      </w:r>
      <w:r w:rsidRPr="00CA6939">
        <w:rPr>
          <w:lang w:val="en-US"/>
        </w:rPr>
        <w:t>.</w:t>
      </w:r>
      <w:r w:rsidR="006C65AB" w:rsidRPr="00CA6939">
        <w:rPr>
          <w:lang w:val="en-US"/>
        </w:rPr>
        <w:t xml:space="preserve"> </w:t>
      </w:r>
      <w:r w:rsidR="00571630" w:rsidRPr="00CA6939">
        <w:rPr>
          <w:lang w:val="en-US"/>
        </w:rPr>
        <w:t xml:space="preserve">For example, the United Nations’ report on e-government has a goal to substantially reduce corruption and bribery in all their forms by promoting the availability of government data, including open data, on online websites, which </w:t>
      </w:r>
      <w:r w:rsidR="00492718" w:rsidRPr="00CA6939">
        <w:rPr>
          <w:lang w:val="en-US"/>
        </w:rPr>
        <w:t xml:space="preserve">then </w:t>
      </w:r>
      <w:r w:rsidR="00571630" w:rsidRPr="00CA6939">
        <w:rPr>
          <w:lang w:val="en-US"/>
        </w:rPr>
        <w:t xml:space="preserve">helps develop the justice system </w:t>
      </w:r>
      <w:r w:rsidR="00571630" w:rsidRPr="00CA6939">
        <w:rPr>
          <w:lang w:val="en-US"/>
        </w:rPr>
        <w:fldChar w:fldCharType="begin"/>
      </w:r>
      <w:r w:rsidR="00571630" w:rsidRPr="00CA6939">
        <w:rPr>
          <w:lang w:val="en-US"/>
        </w:rPr>
        <w:instrText xml:space="preserve"> REF _Ref458929579 \r \h </w:instrText>
      </w:r>
      <w:r w:rsidR="00571630" w:rsidRPr="00CA6939">
        <w:rPr>
          <w:lang w:val="en-US"/>
        </w:rPr>
      </w:r>
      <w:r w:rsidR="00571630" w:rsidRPr="00CA6939">
        <w:rPr>
          <w:lang w:val="en-US"/>
        </w:rPr>
        <w:fldChar w:fldCharType="separate"/>
      </w:r>
      <w:r w:rsidR="00503208">
        <w:rPr>
          <w:lang w:val="en-US"/>
        </w:rPr>
        <w:t>[13]</w:t>
      </w:r>
      <w:r w:rsidR="00571630" w:rsidRPr="00CA6939">
        <w:rPr>
          <w:lang w:val="en-US"/>
        </w:rPr>
        <w:fldChar w:fldCharType="end"/>
      </w:r>
      <w:r w:rsidR="00571630" w:rsidRPr="00CA6939">
        <w:rPr>
          <w:lang w:val="en-US"/>
        </w:rPr>
        <w:t xml:space="preserve">. </w:t>
      </w:r>
      <w:r w:rsidR="006C65AB" w:rsidRPr="00CA6939">
        <w:rPr>
          <w:lang w:val="en-US"/>
        </w:rPr>
        <w:t xml:space="preserve">Besides that, making government data open is </w:t>
      </w:r>
      <w:r w:rsidR="00492718" w:rsidRPr="00CA6939">
        <w:rPr>
          <w:lang w:val="en-US"/>
        </w:rPr>
        <w:t xml:space="preserve">also </w:t>
      </w:r>
      <w:r w:rsidR="006C65AB" w:rsidRPr="00CA6939">
        <w:rPr>
          <w:lang w:val="en-US"/>
        </w:rPr>
        <w:t xml:space="preserve">considered by many to provide greater returns on public investment, help policy-makers address complex problems, </w:t>
      </w:r>
      <w:r w:rsidR="00A7584C" w:rsidRPr="00CA6939">
        <w:rPr>
          <w:lang w:val="en-US"/>
        </w:rPr>
        <w:t xml:space="preserve">creation of trust in government, </w:t>
      </w:r>
      <w:r w:rsidR="006C65AB" w:rsidRPr="00CA6939">
        <w:rPr>
          <w:lang w:val="en-US"/>
        </w:rPr>
        <w:t>improve public policies and th</w:t>
      </w:r>
      <w:r w:rsidR="00CB7C1D" w:rsidRPr="00CA6939">
        <w:rPr>
          <w:lang w:val="en-US"/>
        </w:rPr>
        <w:t>e efficiency of public services</w:t>
      </w:r>
      <w:r w:rsidR="00A7584C" w:rsidRPr="00CA6939">
        <w:rPr>
          <w:lang w:val="en-US"/>
        </w:rPr>
        <w:t>, etc.</w:t>
      </w:r>
      <w:r w:rsidR="0080308C">
        <w:rPr>
          <w:lang w:val="en-US"/>
        </w:rPr>
        <w:t xml:space="preserve"> </w:t>
      </w:r>
      <w:r w:rsidR="0080308C">
        <w:rPr>
          <w:lang w:val="en-US"/>
        </w:rPr>
        <w:fldChar w:fldCharType="begin"/>
      </w:r>
      <w:r w:rsidR="0080308C">
        <w:rPr>
          <w:lang w:val="en-US"/>
        </w:rPr>
        <w:instrText xml:space="preserve"> REF _Ref465774446 \r \h </w:instrText>
      </w:r>
      <w:r w:rsidR="0080308C">
        <w:rPr>
          <w:lang w:val="en-US"/>
        </w:rPr>
      </w:r>
      <w:r w:rsidR="0080308C">
        <w:rPr>
          <w:lang w:val="en-US"/>
        </w:rPr>
        <w:fldChar w:fldCharType="separate"/>
      </w:r>
      <w:r w:rsidR="00503208">
        <w:rPr>
          <w:lang w:val="en-US"/>
        </w:rPr>
        <w:t>[2]</w:t>
      </w:r>
      <w:r w:rsidR="0080308C">
        <w:rPr>
          <w:lang w:val="en-US"/>
        </w:rPr>
        <w:fldChar w:fldCharType="end"/>
      </w:r>
      <w:r w:rsidR="00486F3F" w:rsidRPr="00CA6939">
        <w:rPr>
          <w:lang w:val="en-US"/>
        </w:rPr>
        <w:t xml:space="preserve">, </w:t>
      </w:r>
      <w:r w:rsidR="00486F3F" w:rsidRPr="00CA6939">
        <w:rPr>
          <w:lang w:val="en-US"/>
        </w:rPr>
        <w:fldChar w:fldCharType="begin"/>
      </w:r>
      <w:r w:rsidR="00486F3F" w:rsidRPr="00CA6939">
        <w:rPr>
          <w:lang w:val="en-US"/>
        </w:rPr>
        <w:instrText xml:space="preserve"> REF _Ref458926842 \r \h </w:instrText>
      </w:r>
      <w:r w:rsidR="00486F3F" w:rsidRPr="00CA6939">
        <w:rPr>
          <w:lang w:val="en-US"/>
        </w:rPr>
      </w:r>
      <w:r w:rsidR="00486F3F" w:rsidRPr="00CA6939">
        <w:rPr>
          <w:lang w:val="en-US"/>
        </w:rPr>
        <w:fldChar w:fldCharType="separate"/>
      </w:r>
      <w:r w:rsidR="00503208">
        <w:rPr>
          <w:lang w:val="en-US"/>
        </w:rPr>
        <w:t>[14]</w:t>
      </w:r>
      <w:r w:rsidR="00486F3F" w:rsidRPr="00CA6939">
        <w:rPr>
          <w:lang w:val="en-US"/>
        </w:rPr>
        <w:fldChar w:fldCharType="end"/>
      </w:r>
      <w:r w:rsidR="006C523D" w:rsidRPr="00CA6939">
        <w:rPr>
          <w:lang w:val="en-US"/>
        </w:rPr>
        <w:t>.</w:t>
      </w:r>
    </w:p>
    <w:p w:rsidR="000139B1" w:rsidRPr="00CA6939" w:rsidRDefault="00CB7C1D" w:rsidP="000139B1">
      <w:pPr>
        <w:rPr>
          <w:lang w:val="en-US"/>
        </w:rPr>
      </w:pPr>
      <w:r w:rsidRPr="00CA6939">
        <w:rPr>
          <w:lang w:val="en-US"/>
        </w:rPr>
        <w:t>On the other hand, simply publishing open data will not necessarily result in a more open, transparent government</w:t>
      </w:r>
      <w:r w:rsidR="006D6585" w:rsidRPr="00CA6939">
        <w:rPr>
          <w:lang w:val="en-US"/>
        </w:rPr>
        <w:t>.</w:t>
      </w:r>
      <w:r w:rsidR="003E397B" w:rsidRPr="00CA6939">
        <w:rPr>
          <w:lang w:val="en-US"/>
        </w:rPr>
        <w:t xml:space="preserve"> </w:t>
      </w:r>
      <w:r w:rsidR="006D6585" w:rsidRPr="00CA6939">
        <w:rPr>
          <w:lang w:val="en-US"/>
        </w:rPr>
        <w:t>Opening data that have no adequate information quality can result in discussions, confusions, less transparency and even in less trust in the government</w:t>
      </w:r>
      <w:r w:rsidR="0080308C">
        <w:rPr>
          <w:lang w:val="en-US"/>
        </w:rPr>
        <w:t xml:space="preserve"> </w:t>
      </w:r>
      <w:r w:rsidR="0080308C">
        <w:rPr>
          <w:lang w:val="en-US"/>
        </w:rPr>
        <w:fldChar w:fldCharType="begin"/>
      </w:r>
      <w:r w:rsidR="0080308C">
        <w:rPr>
          <w:lang w:val="en-US"/>
        </w:rPr>
        <w:instrText xml:space="preserve"> REF _Ref465774446 \r \h </w:instrText>
      </w:r>
      <w:r w:rsidR="0080308C">
        <w:rPr>
          <w:lang w:val="en-US"/>
        </w:rPr>
      </w:r>
      <w:r w:rsidR="0080308C">
        <w:rPr>
          <w:lang w:val="en-US"/>
        </w:rPr>
        <w:fldChar w:fldCharType="separate"/>
      </w:r>
      <w:r w:rsidR="00503208">
        <w:rPr>
          <w:lang w:val="en-US"/>
        </w:rPr>
        <w:t>[2]</w:t>
      </w:r>
      <w:r w:rsidR="0080308C">
        <w:rPr>
          <w:lang w:val="en-US"/>
        </w:rPr>
        <w:fldChar w:fldCharType="end"/>
      </w:r>
      <w:r w:rsidR="006D6585" w:rsidRPr="00CA6939">
        <w:rPr>
          <w:lang w:val="en-US"/>
        </w:rPr>
        <w:t xml:space="preserve">, </w:t>
      </w:r>
      <w:r w:rsidR="0080308C">
        <w:rPr>
          <w:lang w:val="en-US"/>
        </w:rPr>
        <w:fldChar w:fldCharType="begin"/>
      </w:r>
      <w:r w:rsidR="0080308C">
        <w:rPr>
          <w:lang w:val="en-US"/>
        </w:rPr>
        <w:instrText xml:space="preserve"> REF _Ref465774375 \r \h </w:instrText>
      </w:r>
      <w:r w:rsidR="0080308C">
        <w:rPr>
          <w:lang w:val="en-US"/>
        </w:rPr>
      </w:r>
      <w:r w:rsidR="0080308C">
        <w:rPr>
          <w:lang w:val="en-US"/>
        </w:rPr>
        <w:fldChar w:fldCharType="separate"/>
      </w:r>
      <w:r w:rsidR="00503208">
        <w:rPr>
          <w:lang w:val="en-US"/>
        </w:rPr>
        <w:t>[7]</w:t>
      </w:r>
      <w:r w:rsidR="0080308C">
        <w:rPr>
          <w:lang w:val="en-US"/>
        </w:rPr>
        <w:fldChar w:fldCharType="end"/>
      </w:r>
      <w:r w:rsidR="006D6585" w:rsidRPr="00CA6939">
        <w:rPr>
          <w:lang w:val="en-US"/>
        </w:rPr>
        <w:t xml:space="preserve">, </w:t>
      </w:r>
      <w:r w:rsidR="006D6585" w:rsidRPr="00CA6939">
        <w:rPr>
          <w:lang w:val="en-US"/>
        </w:rPr>
        <w:fldChar w:fldCharType="begin"/>
      </w:r>
      <w:r w:rsidR="006D6585" w:rsidRPr="00CA6939">
        <w:rPr>
          <w:lang w:val="en-US"/>
        </w:rPr>
        <w:instrText xml:space="preserve"> REF _Ref458926842 \r \h </w:instrText>
      </w:r>
      <w:r w:rsidR="006D6585" w:rsidRPr="00CA6939">
        <w:rPr>
          <w:lang w:val="en-US"/>
        </w:rPr>
      </w:r>
      <w:r w:rsidR="006D6585" w:rsidRPr="00CA6939">
        <w:rPr>
          <w:lang w:val="en-US"/>
        </w:rPr>
        <w:fldChar w:fldCharType="separate"/>
      </w:r>
      <w:r w:rsidR="00503208">
        <w:rPr>
          <w:lang w:val="en-US"/>
        </w:rPr>
        <w:t>[14]</w:t>
      </w:r>
      <w:r w:rsidR="006D6585" w:rsidRPr="00CA6939">
        <w:rPr>
          <w:lang w:val="en-US"/>
        </w:rPr>
        <w:fldChar w:fldCharType="end"/>
      </w:r>
      <w:r w:rsidRPr="00CA6939">
        <w:rPr>
          <w:lang w:val="en-US"/>
        </w:rPr>
        <w:t xml:space="preserve">. </w:t>
      </w:r>
      <w:r w:rsidR="00B15ADC" w:rsidRPr="00CA6939">
        <w:rPr>
          <w:lang w:val="en-US"/>
        </w:rPr>
        <w:t xml:space="preserve">Rajshree and Srivastava </w:t>
      </w:r>
      <w:r w:rsidR="00B15ADC" w:rsidRPr="00CA6939">
        <w:rPr>
          <w:lang w:val="en-US"/>
        </w:rPr>
        <w:fldChar w:fldCharType="begin"/>
      </w:r>
      <w:r w:rsidR="00B15ADC" w:rsidRPr="00CA6939">
        <w:rPr>
          <w:lang w:val="en-US"/>
        </w:rPr>
        <w:instrText xml:space="preserve"> REF _Ref459279143 \r \h </w:instrText>
      </w:r>
      <w:r w:rsidR="00B15ADC" w:rsidRPr="00CA6939">
        <w:rPr>
          <w:lang w:val="en-US"/>
        </w:rPr>
      </w:r>
      <w:r w:rsidR="00B15ADC" w:rsidRPr="00CA6939">
        <w:rPr>
          <w:lang w:val="en-US"/>
        </w:rPr>
        <w:fldChar w:fldCharType="separate"/>
      </w:r>
      <w:r w:rsidR="00503208">
        <w:rPr>
          <w:lang w:val="en-US"/>
        </w:rPr>
        <w:t>[11]</w:t>
      </w:r>
      <w:r w:rsidR="00B15ADC" w:rsidRPr="00CA6939">
        <w:rPr>
          <w:lang w:val="en-US"/>
        </w:rPr>
        <w:fldChar w:fldCharType="end"/>
      </w:r>
      <w:r w:rsidR="00B15ADC" w:rsidRPr="00CA6939">
        <w:rPr>
          <w:lang w:val="en-US"/>
        </w:rPr>
        <w:t xml:space="preserve"> argue that open government data can help in fighting corruption through novel applications that promote transparency in public services. </w:t>
      </w:r>
      <w:r w:rsidR="007C2FE6" w:rsidRPr="00CA6939">
        <w:rPr>
          <w:lang w:val="en-US"/>
        </w:rPr>
        <w:t xml:space="preserve">In similar lines, </w:t>
      </w:r>
      <w:r w:rsidR="006E6779" w:rsidRPr="00CA6939">
        <w:rPr>
          <w:lang w:val="en-US"/>
        </w:rPr>
        <w:t>Mistry</w:t>
      </w:r>
      <w:r w:rsidR="007C2FE6" w:rsidRPr="00CA6939">
        <w:rPr>
          <w:lang w:val="en-US"/>
        </w:rPr>
        <w:t xml:space="preserve"> and </w:t>
      </w:r>
      <w:r w:rsidR="006E6779" w:rsidRPr="00CA6939">
        <w:rPr>
          <w:lang w:val="en-US"/>
        </w:rPr>
        <w:t>Jalal</w:t>
      </w:r>
      <w:r w:rsidR="007C2FE6" w:rsidRPr="00CA6939">
        <w:rPr>
          <w:lang w:val="en-US"/>
        </w:rPr>
        <w:t xml:space="preserve"> </w:t>
      </w:r>
      <w:r w:rsidR="006E6779" w:rsidRPr="00CA6939">
        <w:rPr>
          <w:lang w:val="en-US"/>
        </w:rPr>
        <w:fldChar w:fldCharType="begin"/>
      </w:r>
      <w:r w:rsidR="006E6779" w:rsidRPr="00CA6939">
        <w:rPr>
          <w:lang w:val="en-US"/>
        </w:rPr>
        <w:instrText xml:space="preserve"> REF _Ref459283970 \r \h </w:instrText>
      </w:r>
      <w:r w:rsidR="006E6779" w:rsidRPr="00CA6939">
        <w:rPr>
          <w:lang w:val="en-US"/>
        </w:rPr>
      </w:r>
      <w:r w:rsidR="006E6779" w:rsidRPr="00CA6939">
        <w:rPr>
          <w:lang w:val="en-US"/>
        </w:rPr>
        <w:fldChar w:fldCharType="separate"/>
      </w:r>
      <w:r w:rsidR="00503208">
        <w:rPr>
          <w:lang w:val="en-US"/>
        </w:rPr>
        <w:t>[9]</w:t>
      </w:r>
      <w:r w:rsidR="006E6779" w:rsidRPr="00CA6939">
        <w:rPr>
          <w:lang w:val="en-US"/>
        </w:rPr>
        <w:fldChar w:fldCharType="end"/>
      </w:r>
      <w:r w:rsidR="007C2FE6" w:rsidRPr="00CA6939">
        <w:rPr>
          <w:lang w:val="en-US"/>
        </w:rPr>
        <w:t xml:space="preserve"> claim that an important strategy for dismantling corruption can be the providing of easy access to information for all citizens through the use of related initiatives. </w:t>
      </w:r>
      <w:r w:rsidRPr="00CA6939">
        <w:rPr>
          <w:lang w:val="en-US"/>
        </w:rPr>
        <w:t>Therefore, to fully exploit the potential of open data, governments have to follow the basic principles of open data. According to Janssen et al.</w:t>
      </w:r>
      <w:r w:rsidR="0080308C">
        <w:rPr>
          <w:lang w:val="en-US"/>
        </w:rPr>
        <w:t xml:space="preserve"> </w:t>
      </w:r>
      <w:r w:rsidR="0080308C">
        <w:rPr>
          <w:lang w:val="en-US"/>
        </w:rPr>
        <w:fldChar w:fldCharType="begin"/>
      </w:r>
      <w:r w:rsidR="0080308C">
        <w:rPr>
          <w:lang w:val="en-US"/>
        </w:rPr>
        <w:instrText xml:space="preserve"> REF _Ref465774446 \r \h </w:instrText>
      </w:r>
      <w:r w:rsidR="0080308C">
        <w:rPr>
          <w:lang w:val="en-US"/>
        </w:rPr>
      </w:r>
      <w:r w:rsidR="0080308C">
        <w:rPr>
          <w:lang w:val="en-US"/>
        </w:rPr>
        <w:fldChar w:fldCharType="separate"/>
      </w:r>
      <w:r w:rsidR="00503208">
        <w:rPr>
          <w:lang w:val="en-US"/>
        </w:rPr>
        <w:t>[2]</w:t>
      </w:r>
      <w:r w:rsidR="0080308C">
        <w:rPr>
          <w:lang w:val="en-US"/>
        </w:rPr>
        <w:fldChar w:fldCharType="end"/>
      </w:r>
      <w:r w:rsidRPr="00CA6939">
        <w:rPr>
          <w:lang w:val="en-US"/>
        </w:rPr>
        <w:t>, open data should be defined as non-privacy-restricted and non-confidential data which are produced with public money and are made available without any legal restrictions on their usage or distribution. These data should be accessible in both human- and machine-readable formats that allow data to be combined and utilized in different ways using computer programs</w:t>
      </w:r>
      <w:r w:rsidR="0080308C">
        <w:rPr>
          <w:lang w:val="en-US"/>
        </w:rPr>
        <w:t xml:space="preserve"> </w:t>
      </w:r>
      <w:r w:rsidR="0080308C">
        <w:rPr>
          <w:lang w:val="en-US"/>
        </w:rPr>
        <w:fldChar w:fldCharType="begin"/>
      </w:r>
      <w:r w:rsidR="0080308C">
        <w:rPr>
          <w:lang w:val="en-US"/>
        </w:rPr>
        <w:instrText xml:space="preserve"> REF _Ref465774446 \r \h </w:instrText>
      </w:r>
      <w:r w:rsidR="0080308C">
        <w:rPr>
          <w:lang w:val="en-US"/>
        </w:rPr>
      </w:r>
      <w:r w:rsidR="0080308C">
        <w:rPr>
          <w:lang w:val="en-US"/>
        </w:rPr>
        <w:fldChar w:fldCharType="separate"/>
      </w:r>
      <w:r w:rsidR="00503208">
        <w:rPr>
          <w:lang w:val="en-US"/>
        </w:rPr>
        <w:t>[2]</w:t>
      </w:r>
      <w:r w:rsidR="0080308C">
        <w:rPr>
          <w:lang w:val="en-US"/>
        </w:rPr>
        <w:fldChar w:fldCharType="end"/>
      </w:r>
      <w:r w:rsidR="000139B1" w:rsidRPr="00CA6939">
        <w:rPr>
          <w:lang w:val="en-US"/>
        </w:rPr>
        <w:t xml:space="preserve">, </w:t>
      </w:r>
      <w:r w:rsidR="000139B1" w:rsidRPr="00CA6939">
        <w:rPr>
          <w:lang w:val="en-US"/>
        </w:rPr>
        <w:fldChar w:fldCharType="begin"/>
      </w:r>
      <w:r w:rsidR="000139B1" w:rsidRPr="00CA6939">
        <w:rPr>
          <w:lang w:val="en-US"/>
        </w:rPr>
        <w:instrText xml:space="preserve"> REF _Ref458926842 \r \h </w:instrText>
      </w:r>
      <w:r w:rsidR="000139B1" w:rsidRPr="00CA6939">
        <w:rPr>
          <w:lang w:val="en-US"/>
        </w:rPr>
      </w:r>
      <w:r w:rsidR="000139B1" w:rsidRPr="00CA6939">
        <w:rPr>
          <w:lang w:val="en-US"/>
        </w:rPr>
        <w:fldChar w:fldCharType="separate"/>
      </w:r>
      <w:r w:rsidR="00503208">
        <w:rPr>
          <w:lang w:val="en-US"/>
        </w:rPr>
        <w:t>[14]</w:t>
      </w:r>
      <w:r w:rsidR="000139B1" w:rsidRPr="00CA6939">
        <w:rPr>
          <w:lang w:val="en-US"/>
        </w:rPr>
        <w:fldChar w:fldCharType="end"/>
      </w:r>
      <w:r w:rsidRPr="00CA6939">
        <w:rPr>
          <w:lang w:val="en-US"/>
        </w:rPr>
        <w:t xml:space="preserve">. </w:t>
      </w:r>
      <w:r w:rsidR="000139B1" w:rsidRPr="00CA6939">
        <w:rPr>
          <w:lang w:val="en-US"/>
        </w:rPr>
        <w:t xml:space="preserve">Rajshree and Srivastava </w:t>
      </w:r>
      <w:r w:rsidR="000139B1" w:rsidRPr="00CA6939">
        <w:rPr>
          <w:lang w:val="en-US"/>
        </w:rPr>
        <w:fldChar w:fldCharType="begin"/>
      </w:r>
      <w:r w:rsidR="000139B1" w:rsidRPr="00CA6939">
        <w:rPr>
          <w:lang w:val="en-US"/>
        </w:rPr>
        <w:instrText xml:space="preserve"> REF _Ref459279143 \r \h </w:instrText>
      </w:r>
      <w:r w:rsidR="000139B1" w:rsidRPr="00CA6939">
        <w:rPr>
          <w:lang w:val="en-US"/>
        </w:rPr>
      </w:r>
      <w:r w:rsidR="000139B1" w:rsidRPr="00CA6939">
        <w:rPr>
          <w:lang w:val="en-US"/>
        </w:rPr>
        <w:fldChar w:fldCharType="separate"/>
      </w:r>
      <w:r w:rsidR="00503208">
        <w:rPr>
          <w:lang w:val="en-US"/>
        </w:rPr>
        <w:t>[11]</w:t>
      </w:r>
      <w:r w:rsidR="000139B1" w:rsidRPr="00CA6939">
        <w:rPr>
          <w:lang w:val="en-US"/>
        </w:rPr>
        <w:fldChar w:fldCharType="end"/>
      </w:r>
      <w:r w:rsidR="000139B1" w:rsidRPr="00CA6939">
        <w:rPr>
          <w:lang w:val="en-US"/>
        </w:rPr>
        <w:t xml:space="preserve"> also noted steps which different stakeholders must take to promote open data and make their potential a reality. </w:t>
      </w:r>
    </w:p>
    <w:p w:rsidR="005B2987" w:rsidRPr="00CA6939" w:rsidRDefault="005B2987" w:rsidP="000139B1">
      <w:pPr>
        <w:rPr>
          <w:lang w:val="en-US"/>
        </w:rPr>
      </w:pPr>
      <w:r w:rsidRPr="00CA6939">
        <w:rPr>
          <w:lang w:val="en-US"/>
        </w:rPr>
        <w:t xml:space="preserve">Máchová and Lněnička </w:t>
      </w:r>
      <w:r w:rsidR="0080308C">
        <w:rPr>
          <w:lang w:val="en-US"/>
        </w:rPr>
        <w:fldChar w:fldCharType="begin"/>
      </w:r>
      <w:r w:rsidR="0080308C">
        <w:rPr>
          <w:lang w:val="en-US"/>
        </w:rPr>
        <w:instrText xml:space="preserve"> REF _Ref465774375 \r \h </w:instrText>
      </w:r>
      <w:r w:rsidR="0080308C">
        <w:rPr>
          <w:lang w:val="en-US"/>
        </w:rPr>
      </w:r>
      <w:r w:rsidR="0080308C">
        <w:rPr>
          <w:lang w:val="en-US"/>
        </w:rPr>
        <w:fldChar w:fldCharType="separate"/>
      </w:r>
      <w:r w:rsidR="00503208">
        <w:rPr>
          <w:lang w:val="en-US"/>
        </w:rPr>
        <w:t>[7]</w:t>
      </w:r>
      <w:r w:rsidR="0080308C">
        <w:rPr>
          <w:lang w:val="en-US"/>
        </w:rPr>
        <w:fldChar w:fldCharType="end"/>
      </w:r>
      <w:r w:rsidRPr="00CA6939">
        <w:rPr>
          <w:lang w:val="en-US"/>
        </w:rPr>
        <w:t xml:space="preserve"> </w:t>
      </w:r>
      <w:r w:rsidR="00492718" w:rsidRPr="00CA6939">
        <w:rPr>
          <w:lang w:val="en-US"/>
        </w:rPr>
        <w:t xml:space="preserve">then </w:t>
      </w:r>
      <w:r w:rsidRPr="00CA6939">
        <w:rPr>
          <w:lang w:val="en-US"/>
        </w:rPr>
        <w:t xml:space="preserve">evaluated the impacts of open data enabling factors and generating mechanisms in the economic, educational, environmental, health, politics and </w:t>
      </w:r>
      <w:r w:rsidRPr="00CA6939">
        <w:rPr>
          <w:lang w:val="en-US"/>
        </w:rPr>
        <w:lastRenderedPageBreak/>
        <w:t xml:space="preserve">legislation, social, and trade and business development. Their results suggest that the biggest impacts of open data can be found in the educational and social development, however, the attention of businesses is still lacking in this area. Zuiderwijk et al. </w:t>
      </w:r>
      <w:r w:rsidRPr="00CA6939">
        <w:rPr>
          <w:lang w:val="en-US"/>
        </w:rPr>
        <w:fldChar w:fldCharType="begin"/>
      </w:r>
      <w:r w:rsidRPr="00CA6939">
        <w:rPr>
          <w:lang w:val="en-US"/>
        </w:rPr>
        <w:instrText xml:space="preserve"> REF _Ref458926842 \r \h </w:instrText>
      </w:r>
      <w:r w:rsidRPr="00CA6939">
        <w:rPr>
          <w:lang w:val="en-US"/>
        </w:rPr>
      </w:r>
      <w:r w:rsidRPr="00CA6939">
        <w:rPr>
          <w:lang w:val="en-US"/>
        </w:rPr>
        <w:fldChar w:fldCharType="separate"/>
      </w:r>
      <w:r w:rsidR="00503208">
        <w:rPr>
          <w:lang w:val="en-US"/>
        </w:rPr>
        <w:t>[14]</w:t>
      </w:r>
      <w:r w:rsidRPr="00CA6939">
        <w:rPr>
          <w:lang w:val="en-US"/>
        </w:rPr>
        <w:fldChar w:fldCharType="end"/>
      </w:r>
      <w:r w:rsidRPr="00CA6939">
        <w:rPr>
          <w:lang w:val="en-US"/>
        </w:rPr>
        <w:t xml:space="preserve"> focused on discovering what factors are critical for the publication and use of open data in a particular practical case. Categories of factors that were most critical for open data publication in this initiative referred to legislation, regulation and licenses, sustainability of the open data initiative, and accessibility, interoperability and standards. Success factor categories that are critical for open data use concerned legislation, regulation and licenses, and success stories.</w:t>
      </w:r>
    </w:p>
    <w:p w:rsidR="00B30CDF" w:rsidRPr="00CA6939" w:rsidRDefault="00CA458B" w:rsidP="00B30CDF">
      <w:pPr>
        <w:rPr>
          <w:lang w:val="en-US"/>
        </w:rPr>
      </w:pPr>
      <w:r w:rsidRPr="00CA6939">
        <w:rPr>
          <w:lang w:val="en-US"/>
        </w:rPr>
        <w:t xml:space="preserve">The matter of corruption is </w:t>
      </w:r>
      <w:r w:rsidR="006E6779" w:rsidRPr="00CA6939">
        <w:rPr>
          <w:lang w:val="en-US"/>
        </w:rPr>
        <w:t xml:space="preserve">very </w:t>
      </w:r>
      <w:r w:rsidRPr="00CA6939">
        <w:rPr>
          <w:lang w:val="en-US"/>
        </w:rPr>
        <w:t>often solved in the broader context of e-government</w:t>
      </w:r>
      <w:r w:rsidR="00C65FE9" w:rsidRPr="00CA6939">
        <w:rPr>
          <w:lang w:val="en-US"/>
        </w:rPr>
        <w:t xml:space="preserve"> </w:t>
      </w:r>
      <w:r w:rsidR="00C65FE9" w:rsidRPr="00CA6939">
        <w:rPr>
          <w:lang w:val="en-US"/>
        </w:rPr>
        <w:fldChar w:fldCharType="begin"/>
      </w:r>
      <w:r w:rsidR="00C65FE9" w:rsidRPr="00CA6939">
        <w:rPr>
          <w:lang w:val="en-US"/>
        </w:rPr>
        <w:instrText xml:space="preserve"> REF _Ref458925528 \r \h </w:instrText>
      </w:r>
      <w:r w:rsidR="00C65FE9" w:rsidRPr="00CA6939">
        <w:rPr>
          <w:lang w:val="en-US"/>
        </w:rPr>
      </w:r>
      <w:r w:rsidR="00C65FE9" w:rsidRPr="00CA6939">
        <w:rPr>
          <w:lang w:val="en-US"/>
        </w:rPr>
        <w:fldChar w:fldCharType="separate"/>
      </w:r>
      <w:r w:rsidR="00503208">
        <w:rPr>
          <w:lang w:val="en-US"/>
        </w:rPr>
        <w:t>[1]</w:t>
      </w:r>
      <w:r w:rsidR="00C65FE9" w:rsidRPr="00CA6939">
        <w:rPr>
          <w:lang w:val="en-US"/>
        </w:rPr>
        <w:fldChar w:fldCharType="end"/>
      </w:r>
      <w:r w:rsidR="00C65FE9" w:rsidRPr="00CA6939">
        <w:rPr>
          <w:lang w:val="en-US"/>
        </w:rPr>
        <w:t>,</w:t>
      </w:r>
      <w:r w:rsidR="00730672" w:rsidRPr="00CA6939">
        <w:rPr>
          <w:lang w:val="en-US"/>
        </w:rPr>
        <w:t xml:space="preserve"> </w:t>
      </w:r>
      <w:r w:rsidR="00730672" w:rsidRPr="00CA6939">
        <w:rPr>
          <w:lang w:val="en-US"/>
        </w:rPr>
        <w:fldChar w:fldCharType="begin"/>
      </w:r>
      <w:r w:rsidR="00730672" w:rsidRPr="00CA6939">
        <w:rPr>
          <w:lang w:val="en-US"/>
        </w:rPr>
        <w:instrText xml:space="preserve"> REF _Ref458850668 \r \h </w:instrText>
      </w:r>
      <w:r w:rsidR="00730672" w:rsidRPr="00CA6939">
        <w:rPr>
          <w:lang w:val="en-US"/>
        </w:rPr>
      </w:r>
      <w:r w:rsidR="00730672" w:rsidRPr="00CA6939">
        <w:rPr>
          <w:lang w:val="en-US"/>
        </w:rPr>
        <w:fldChar w:fldCharType="separate"/>
      </w:r>
      <w:r w:rsidR="00503208">
        <w:rPr>
          <w:lang w:val="en-US"/>
        </w:rPr>
        <w:t>[3]</w:t>
      </w:r>
      <w:r w:rsidR="00730672" w:rsidRPr="00CA6939">
        <w:rPr>
          <w:lang w:val="en-US"/>
        </w:rPr>
        <w:fldChar w:fldCharType="end"/>
      </w:r>
      <w:r w:rsidR="00730672" w:rsidRPr="00CA6939">
        <w:rPr>
          <w:lang w:val="en-US"/>
        </w:rPr>
        <w:t xml:space="preserve">, </w:t>
      </w:r>
      <w:r w:rsidR="00730672" w:rsidRPr="00CA6939">
        <w:rPr>
          <w:lang w:val="en-US"/>
        </w:rPr>
        <w:fldChar w:fldCharType="begin"/>
      </w:r>
      <w:r w:rsidR="00730672" w:rsidRPr="00CA6939">
        <w:rPr>
          <w:lang w:val="en-US"/>
        </w:rPr>
        <w:instrText xml:space="preserve"> REF _Ref458850670 \r \h </w:instrText>
      </w:r>
      <w:r w:rsidR="00730672" w:rsidRPr="00CA6939">
        <w:rPr>
          <w:lang w:val="en-US"/>
        </w:rPr>
      </w:r>
      <w:r w:rsidR="00730672" w:rsidRPr="00CA6939">
        <w:rPr>
          <w:lang w:val="en-US"/>
        </w:rPr>
        <w:fldChar w:fldCharType="separate"/>
      </w:r>
      <w:r w:rsidR="00503208">
        <w:rPr>
          <w:lang w:val="en-US"/>
        </w:rPr>
        <w:t>[5]</w:t>
      </w:r>
      <w:r w:rsidR="00730672" w:rsidRPr="00CA6939">
        <w:rPr>
          <w:lang w:val="en-US"/>
        </w:rPr>
        <w:fldChar w:fldCharType="end"/>
      </w:r>
      <w:r w:rsidR="008F490E" w:rsidRPr="00CA6939">
        <w:rPr>
          <w:lang w:val="en-US"/>
        </w:rPr>
        <w:t xml:space="preserve">, </w:t>
      </w:r>
      <w:r w:rsidR="008F490E" w:rsidRPr="00CA6939">
        <w:rPr>
          <w:lang w:val="en-US"/>
        </w:rPr>
        <w:fldChar w:fldCharType="begin"/>
      </w:r>
      <w:r w:rsidR="008F490E" w:rsidRPr="00CA6939">
        <w:rPr>
          <w:lang w:val="en-US"/>
        </w:rPr>
        <w:instrText xml:space="preserve"> REF _Ref459283970 \r \h </w:instrText>
      </w:r>
      <w:r w:rsidR="008F490E" w:rsidRPr="00CA6939">
        <w:rPr>
          <w:lang w:val="en-US"/>
        </w:rPr>
      </w:r>
      <w:r w:rsidR="008F490E" w:rsidRPr="00CA6939">
        <w:rPr>
          <w:lang w:val="en-US"/>
        </w:rPr>
        <w:fldChar w:fldCharType="separate"/>
      </w:r>
      <w:r w:rsidR="00503208">
        <w:rPr>
          <w:lang w:val="en-US"/>
        </w:rPr>
        <w:t>[9]</w:t>
      </w:r>
      <w:r w:rsidR="008F490E" w:rsidRPr="00CA6939">
        <w:rPr>
          <w:lang w:val="en-US"/>
        </w:rPr>
        <w:fldChar w:fldCharType="end"/>
      </w:r>
      <w:r w:rsidR="006E6779" w:rsidRPr="00CA6939">
        <w:rPr>
          <w:lang w:val="en-US"/>
        </w:rPr>
        <w:t xml:space="preserve">, </w:t>
      </w:r>
      <w:r w:rsidR="006E6779" w:rsidRPr="00CA6939">
        <w:rPr>
          <w:lang w:val="en-US"/>
        </w:rPr>
        <w:fldChar w:fldCharType="begin"/>
      </w:r>
      <w:r w:rsidR="006E6779" w:rsidRPr="00CA6939">
        <w:rPr>
          <w:lang w:val="en-US"/>
        </w:rPr>
        <w:instrText xml:space="preserve"> REF _Ref459454316 \r \h </w:instrText>
      </w:r>
      <w:r w:rsidR="006E6779" w:rsidRPr="00CA6939">
        <w:rPr>
          <w:lang w:val="en-US"/>
        </w:rPr>
      </w:r>
      <w:r w:rsidR="006E6779" w:rsidRPr="00CA6939">
        <w:rPr>
          <w:lang w:val="en-US"/>
        </w:rPr>
        <w:fldChar w:fldCharType="separate"/>
      </w:r>
      <w:r w:rsidR="00503208">
        <w:rPr>
          <w:lang w:val="en-US"/>
        </w:rPr>
        <w:t>[12]</w:t>
      </w:r>
      <w:r w:rsidR="006E6779" w:rsidRPr="00CA6939">
        <w:rPr>
          <w:lang w:val="en-US"/>
        </w:rPr>
        <w:fldChar w:fldCharType="end"/>
      </w:r>
      <w:r w:rsidR="00730672" w:rsidRPr="00CA6939">
        <w:rPr>
          <w:lang w:val="en-US"/>
        </w:rPr>
        <w:t>.</w:t>
      </w:r>
      <w:r w:rsidR="000F6DCA" w:rsidRPr="00CA6939">
        <w:rPr>
          <w:lang w:val="en-US"/>
        </w:rPr>
        <w:t xml:space="preserve"> The literature focused on e-government in relation to corruption suggests that electronic service delivery can reduce corruption by minimizing the interactions with officials, accelerating decisions and reducing human errors </w:t>
      </w:r>
      <w:r w:rsidR="000F6DCA" w:rsidRPr="00CA6939">
        <w:rPr>
          <w:lang w:val="en-US"/>
        </w:rPr>
        <w:fldChar w:fldCharType="begin"/>
      </w:r>
      <w:r w:rsidR="000F6DCA" w:rsidRPr="00CA6939">
        <w:rPr>
          <w:lang w:val="en-US"/>
        </w:rPr>
        <w:instrText xml:space="preserve"> REF _Ref458850668 \r \h </w:instrText>
      </w:r>
      <w:r w:rsidR="000F6DCA" w:rsidRPr="00CA6939">
        <w:rPr>
          <w:lang w:val="en-US"/>
        </w:rPr>
      </w:r>
      <w:r w:rsidR="000F6DCA" w:rsidRPr="00CA6939">
        <w:rPr>
          <w:lang w:val="en-US"/>
        </w:rPr>
        <w:fldChar w:fldCharType="separate"/>
      </w:r>
      <w:r w:rsidR="00503208">
        <w:rPr>
          <w:lang w:val="en-US"/>
        </w:rPr>
        <w:t>[3]</w:t>
      </w:r>
      <w:r w:rsidR="000F6DCA" w:rsidRPr="00CA6939">
        <w:rPr>
          <w:lang w:val="en-US"/>
        </w:rPr>
        <w:fldChar w:fldCharType="end"/>
      </w:r>
      <w:r w:rsidR="008F490E" w:rsidRPr="00CA6939">
        <w:rPr>
          <w:lang w:val="en-US"/>
        </w:rPr>
        <w:t xml:space="preserve">, </w:t>
      </w:r>
      <w:r w:rsidR="008F490E" w:rsidRPr="00CA6939">
        <w:rPr>
          <w:lang w:val="en-US"/>
        </w:rPr>
        <w:fldChar w:fldCharType="begin"/>
      </w:r>
      <w:r w:rsidR="008F490E" w:rsidRPr="00CA6939">
        <w:rPr>
          <w:lang w:val="en-US"/>
        </w:rPr>
        <w:instrText xml:space="preserve"> REF _Ref459283970 \r \h </w:instrText>
      </w:r>
      <w:r w:rsidR="008F490E" w:rsidRPr="00CA6939">
        <w:rPr>
          <w:lang w:val="en-US"/>
        </w:rPr>
      </w:r>
      <w:r w:rsidR="008F490E" w:rsidRPr="00CA6939">
        <w:rPr>
          <w:lang w:val="en-US"/>
        </w:rPr>
        <w:fldChar w:fldCharType="separate"/>
      </w:r>
      <w:r w:rsidR="00503208">
        <w:rPr>
          <w:lang w:val="en-US"/>
        </w:rPr>
        <w:t>[9]</w:t>
      </w:r>
      <w:r w:rsidR="008F490E" w:rsidRPr="00CA6939">
        <w:rPr>
          <w:lang w:val="en-US"/>
        </w:rPr>
        <w:fldChar w:fldCharType="end"/>
      </w:r>
      <w:r w:rsidR="006E6779" w:rsidRPr="00CA6939">
        <w:rPr>
          <w:lang w:val="en-US"/>
        </w:rPr>
        <w:t xml:space="preserve">, </w:t>
      </w:r>
      <w:r w:rsidR="006E6779" w:rsidRPr="00CA6939">
        <w:rPr>
          <w:lang w:val="en-US"/>
        </w:rPr>
        <w:fldChar w:fldCharType="begin"/>
      </w:r>
      <w:r w:rsidR="006E6779" w:rsidRPr="00CA6939">
        <w:rPr>
          <w:lang w:val="en-US"/>
        </w:rPr>
        <w:instrText xml:space="preserve"> REF _Ref459454316 \r \h </w:instrText>
      </w:r>
      <w:r w:rsidR="006E6779" w:rsidRPr="00CA6939">
        <w:rPr>
          <w:lang w:val="en-US"/>
        </w:rPr>
      </w:r>
      <w:r w:rsidR="006E6779" w:rsidRPr="00CA6939">
        <w:rPr>
          <w:lang w:val="en-US"/>
        </w:rPr>
        <w:fldChar w:fldCharType="separate"/>
      </w:r>
      <w:r w:rsidR="00503208">
        <w:rPr>
          <w:lang w:val="en-US"/>
        </w:rPr>
        <w:t>[12]</w:t>
      </w:r>
      <w:r w:rsidR="006E6779" w:rsidRPr="00CA6939">
        <w:rPr>
          <w:lang w:val="en-US"/>
        </w:rPr>
        <w:fldChar w:fldCharType="end"/>
      </w:r>
      <w:r w:rsidR="000F6DCA" w:rsidRPr="00CA6939">
        <w:rPr>
          <w:lang w:val="en-US"/>
        </w:rPr>
        <w:t>.</w:t>
      </w:r>
      <w:r w:rsidR="00C65FE9" w:rsidRPr="00CA6939">
        <w:rPr>
          <w:lang w:val="en-US"/>
        </w:rPr>
        <w:t xml:space="preserve"> However, t</w:t>
      </w:r>
      <w:r w:rsidR="008D258A" w:rsidRPr="00CA6939">
        <w:rPr>
          <w:lang w:val="en-US"/>
        </w:rPr>
        <w:t>o the author</w:t>
      </w:r>
      <w:r w:rsidR="00B30CDF" w:rsidRPr="00CA6939">
        <w:rPr>
          <w:lang w:val="en-US"/>
        </w:rPr>
        <w:t>’</w:t>
      </w:r>
      <w:r w:rsidR="008D258A" w:rsidRPr="00CA6939">
        <w:rPr>
          <w:lang w:val="en-US"/>
        </w:rPr>
        <w:t>s</w:t>
      </w:r>
      <w:r w:rsidR="00C65FE9" w:rsidRPr="00CA6939">
        <w:rPr>
          <w:lang w:val="en-US"/>
        </w:rPr>
        <w:t xml:space="preserve"> best knowledge, nobody has </w:t>
      </w:r>
      <w:r w:rsidR="008D258A" w:rsidRPr="00CA6939">
        <w:rPr>
          <w:lang w:val="en-US"/>
        </w:rPr>
        <w:t xml:space="preserve">yet exploited the </w:t>
      </w:r>
      <w:r w:rsidR="008F490E" w:rsidRPr="00CA6939">
        <w:rPr>
          <w:lang w:val="en-US"/>
        </w:rPr>
        <w:t>effects</w:t>
      </w:r>
      <w:r w:rsidR="008D258A" w:rsidRPr="00CA6939">
        <w:rPr>
          <w:lang w:val="en-US"/>
        </w:rPr>
        <w:t xml:space="preserve"> of</w:t>
      </w:r>
      <w:r w:rsidR="00C65FE9" w:rsidRPr="00CA6939">
        <w:rPr>
          <w:lang w:val="en-US"/>
        </w:rPr>
        <w:t xml:space="preserve"> o</w:t>
      </w:r>
      <w:r w:rsidR="008D258A" w:rsidRPr="00CA6939">
        <w:rPr>
          <w:lang w:val="en-US"/>
        </w:rPr>
        <w:t xml:space="preserve">pen data to support this relationship. This is </w:t>
      </w:r>
      <w:r w:rsidR="008F490E" w:rsidRPr="00CA6939">
        <w:rPr>
          <w:lang w:val="en-US"/>
        </w:rPr>
        <w:t xml:space="preserve">mainly </w:t>
      </w:r>
      <w:r w:rsidR="00270395" w:rsidRPr="00CA6939">
        <w:rPr>
          <w:lang w:val="en-US"/>
        </w:rPr>
        <w:t>important if Open G</w:t>
      </w:r>
      <w:r w:rsidR="008D258A" w:rsidRPr="00CA6939">
        <w:rPr>
          <w:lang w:val="en-US"/>
        </w:rPr>
        <w:t xml:space="preserve">overnment initiatives are much easier </w:t>
      </w:r>
      <w:r w:rsidR="00F23DAD" w:rsidRPr="00CA6939">
        <w:rPr>
          <w:lang w:val="en-US"/>
        </w:rPr>
        <w:t xml:space="preserve">and quicker </w:t>
      </w:r>
      <w:r w:rsidR="008D258A" w:rsidRPr="00CA6939">
        <w:rPr>
          <w:lang w:val="en-US"/>
        </w:rPr>
        <w:t xml:space="preserve">to implement </w:t>
      </w:r>
      <w:r w:rsidR="00F23DAD" w:rsidRPr="00CA6939">
        <w:rPr>
          <w:lang w:val="en-US"/>
        </w:rPr>
        <w:t xml:space="preserve">(publish public datasets through open data portals) </w:t>
      </w:r>
      <w:r w:rsidR="008D258A" w:rsidRPr="00CA6939">
        <w:rPr>
          <w:lang w:val="en-US"/>
        </w:rPr>
        <w:t>than</w:t>
      </w:r>
      <w:r w:rsidR="00F23DAD" w:rsidRPr="00CA6939">
        <w:rPr>
          <w:lang w:val="en-US"/>
        </w:rPr>
        <w:t xml:space="preserve"> robust e-government infrastructures and services</w:t>
      </w:r>
      <w:r w:rsidR="0080308C">
        <w:rPr>
          <w:lang w:val="en-US"/>
        </w:rPr>
        <w:t xml:space="preserve"> </w:t>
      </w:r>
      <w:r w:rsidR="0080308C">
        <w:rPr>
          <w:lang w:val="en-US"/>
        </w:rPr>
        <w:fldChar w:fldCharType="begin"/>
      </w:r>
      <w:r w:rsidR="0080308C">
        <w:rPr>
          <w:lang w:val="en-US"/>
        </w:rPr>
        <w:instrText xml:space="preserve"> REF _Ref465774446 \r \h </w:instrText>
      </w:r>
      <w:r w:rsidR="0080308C">
        <w:rPr>
          <w:lang w:val="en-US"/>
        </w:rPr>
      </w:r>
      <w:r w:rsidR="0080308C">
        <w:rPr>
          <w:lang w:val="en-US"/>
        </w:rPr>
        <w:fldChar w:fldCharType="separate"/>
      </w:r>
      <w:r w:rsidR="00503208">
        <w:rPr>
          <w:lang w:val="en-US"/>
        </w:rPr>
        <w:t>[2]</w:t>
      </w:r>
      <w:r w:rsidR="0080308C">
        <w:rPr>
          <w:lang w:val="en-US"/>
        </w:rPr>
        <w:fldChar w:fldCharType="end"/>
      </w:r>
      <w:r w:rsidR="00F23DAD" w:rsidRPr="00CA6939">
        <w:rPr>
          <w:lang w:val="en-US"/>
        </w:rPr>
        <w:t>,</w:t>
      </w:r>
      <w:r w:rsidR="0080308C">
        <w:rPr>
          <w:lang w:val="en-US"/>
        </w:rPr>
        <w:t xml:space="preserve"> </w:t>
      </w:r>
      <w:r w:rsidR="0080308C">
        <w:rPr>
          <w:lang w:val="en-US"/>
        </w:rPr>
        <w:fldChar w:fldCharType="begin"/>
      </w:r>
      <w:r w:rsidR="0080308C">
        <w:rPr>
          <w:lang w:val="en-US"/>
        </w:rPr>
        <w:instrText xml:space="preserve"> REF _Ref465774704 \r \h </w:instrText>
      </w:r>
      <w:r w:rsidR="0080308C">
        <w:rPr>
          <w:lang w:val="en-US"/>
        </w:rPr>
      </w:r>
      <w:r w:rsidR="0080308C">
        <w:rPr>
          <w:lang w:val="en-US"/>
        </w:rPr>
        <w:fldChar w:fldCharType="separate"/>
      </w:r>
      <w:r w:rsidR="00503208">
        <w:rPr>
          <w:lang w:val="en-US"/>
        </w:rPr>
        <w:t>[6]</w:t>
      </w:r>
      <w:r w:rsidR="0080308C">
        <w:rPr>
          <w:lang w:val="en-US"/>
        </w:rPr>
        <w:fldChar w:fldCharType="end"/>
      </w:r>
      <w:r w:rsidR="0080308C">
        <w:rPr>
          <w:lang w:val="en-US"/>
        </w:rPr>
        <w:t>,</w:t>
      </w:r>
      <w:r w:rsidR="00B5026E">
        <w:rPr>
          <w:lang w:val="en-US"/>
        </w:rPr>
        <w:t xml:space="preserve"> </w:t>
      </w:r>
      <w:r w:rsidR="00B5026E">
        <w:rPr>
          <w:lang w:val="en-US"/>
        </w:rPr>
        <w:fldChar w:fldCharType="begin"/>
      </w:r>
      <w:r w:rsidR="00B5026E">
        <w:rPr>
          <w:lang w:val="en-US"/>
        </w:rPr>
        <w:instrText xml:space="preserve"> REF _Ref465778578 \r \h </w:instrText>
      </w:r>
      <w:r w:rsidR="00B5026E">
        <w:rPr>
          <w:lang w:val="en-US"/>
        </w:rPr>
      </w:r>
      <w:r w:rsidR="00B5026E">
        <w:rPr>
          <w:lang w:val="en-US"/>
        </w:rPr>
        <w:fldChar w:fldCharType="separate"/>
      </w:r>
      <w:r w:rsidR="00B5026E">
        <w:rPr>
          <w:lang w:val="en-US"/>
        </w:rPr>
        <w:t>[8]</w:t>
      </w:r>
      <w:r w:rsidR="00B5026E">
        <w:rPr>
          <w:lang w:val="en-US"/>
        </w:rPr>
        <w:fldChar w:fldCharType="end"/>
      </w:r>
      <w:r w:rsidR="00B5026E">
        <w:rPr>
          <w:lang w:val="en-US"/>
        </w:rPr>
        <w:t>,</w:t>
      </w:r>
      <w:r w:rsidR="00F23DAD" w:rsidRPr="00CA6939">
        <w:rPr>
          <w:lang w:val="en-US"/>
        </w:rPr>
        <w:t xml:space="preserve"> </w:t>
      </w:r>
      <w:r w:rsidR="00F23DAD" w:rsidRPr="00CA6939">
        <w:rPr>
          <w:lang w:val="en-US"/>
        </w:rPr>
        <w:fldChar w:fldCharType="begin"/>
      </w:r>
      <w:r w:rsidR="00F23DAD" w:rsidRPr="00CA6939">
        <w:rPr>
          <w:lang w:val="en-US"/>
        </w:rPr>
        <w:instrText xml:space="preserve"> REF _Ref458926842 \r \h </w:instrText>
      </w:r>
      <w:r w:rsidR="00F23DAD" w:rsidRPr="00CA6939">
        <w:rPr>
          <w:lang w:val="en-US"/>
        </w:rPr>
      </w:r>
      <w:r w:rsidR="00F23DAD" w:rsidRPr="00CA6939">
        <w:rPr>
          <w:lang w:val="en-US"/>
        </w:rPr>
        <w:fldChar w:fldCharType="separate"/>
      </w:r>
      <w:r w:rsidR="00503208">
        <w:rPr>
          <w:lang w:val="en-US"/>
        </w:rPr>
        <w:t>[14]</w:t>
      </w:r>
      <w:r w:rsidR="00F23DAD" w:rsidRPr="00CA6939">
        <w:rPr>
          <w:lang w:val="en-US"/>
        </w:rPr>
        <w:fldChar w:fldCharType="end"/>
      </w:r>
      <w:r w:rsidR="00F23DAD" w:rsidRPr="00CA6939">
        <w:rPr>
          <w:lang w:val="en-US"/>
        </w:rPr>
        <w:t xml:space="preserve">. </w:t>
      </w:r>
    </w:p>
    <w:p w:rsidR="00E66DED" w:rsidRPr="00CA6939" w:rsidRDefault="00F23DAD" w:rsidP="00B30CDF">
      <w:pPr>
        <w:rPr>
          <w:lang w:val="en-US"/>
        </w:rPr>
      </w:pPr>
      <w:r w:rsidRPr="00CA6939">
        <w:rPr>
          <w:lang w:val="en-US"/>
        </w:rPr>
        <w:t>Th</w:t>
      </w:r>
      <w:r w:rsidR="00B30CDF" w:rsidRPr="00CA6939">
        <w:rPr>
          <w:lang w:val="en-US"/>
        </w:rPr>
        <w:t>erefore</w:t>
      </w:r>
      <w:r w:rsidRPr="00CA6939">
        <w:rPr>
          <w:lang w:val="en-US"/>
        </w:rPr>
        <w:t>,</w:t>
      </w:r>
      <w:r w:rsidR="00B30CDF" w:rsidRPr="00CA6939">
        <w:rPr>
          <w:lang w:val="en-US"/>
        </w:rPr>
        <w:t xml:space="preserve"> </w:t>
      </w:r>
      <w:r w:rsidR="00E66DED" w:rsidRPr="00CA6939">
        <w:rPr>
          <w:lang w:val="en-US"/>
        </w:rPr>
        <w:t xml:space="preserve">the main aim of this paper is to </w:t>
      </w:r>
      <w:r w:rsidR="00492718" w:rsidRPr="00CA6939">
        <w:rPr>
          <w:lang w:val="en-US"/>
        </w:rPr>
        <w:t>examine</w:t>
      </w:r>
      <w:r w:rsidR="00E66DED" w:rsidRPr="00CA6939">
        <w:rPr>
          <w:lang w:val="en-US"/>
        </w:rPr>
        <w:t xml:space="preserve"> the potential </w:t>
      </w:r>
      <w:r w:rsidR="00B30CDF" w:rsidRPr="00CA6939">
        <w:rPr>
          <w:lang w:val="en-US"/>
        </w:rPr>
        <w:t>effects</w:t>
      </w:r>
      <w:r w:rsidR="00E66DED" w:rsidRPr="00CA6939">
        <w:rPr>
          <w:lang w:val="en-US"/>
        </w:rPr>
        <w:t xml:space="preserve"> of open data </w:t>
      </w:r>
      <w:r w:rsidR="009B1541" w:rsidRPr="00CA6939">
        <w:rPr>
          <w:lang w:val="en-US"/>
        </w:rPr>
        <w:t xml:space="preserve">on the level of </w:t>
      </w:r>
      <w:r w:rsidR="00E66DED" w:rsidRPr="00CA6939">
        <w:rPr>
          <w:lang w:val="en-US"/>
        </w:rPr>
        <w:t>corruption.</w:t>
      </w:r>
      <w:r w:rsidR="003752B5" w:rsidRPr="00CA6939">
        <w:rPr>
          <w:lang w:val="en-US"/>
        </w:rPr>
        <w:t xml:space="preserve"> </w:t>
      </w:r>
      <w:r w:rsidR="00B30CDF" w:rsidRPr="00CA6939">
        <w:rPr>
          <w:lang w:val="en-US"/>
        </w:rPr>
        <w:t xml:space="preserve">The main reason for conducting this research study of open data and corruption interrelation is given by the recent development of Open Government and open data movement after 2010 and the increased involvement of citizens in the control of government corruption. </w:t>
      </w:r>
      <w:r w:rsidR="003752B5" w:rsidRPr="00CA6939">
        <w:rPr>
          <w:lang w:val="en-US"/>
        </w:rPr>
        <w:t>To estimate the strength and d</w:t>
      </w:r>
      <w:r w:rsidR="00492718" w:rsidRPr="00CA6939">
        <w:rPr>
          <w:lang w:val="en-US"/>
        </w:rPr>
        <w:t xml:space="preserve">irection </w:t>
      </w:r>
      <w:r w:rsidR="003752B5" w:rsidRPr="00CA6939">
        <w:rPr>
          <w:lang w:val="en-US"/>
        </w:rPr>
        <w:t xml:space="preserve">of the relationship between open data and corruption, related indices from </w:t>
      </w:r>
      <w:r w:rsidR="0093337D" w:rsidRPr="00CA6939">
        <w:rPr>
          <w:lang w:val="en-US"/>
        </w:rPr>
        <w:t>two</w:t>
      </w:r>
      <w:r w:rsidR="003752B5" w:rsidRPr="00CA6939">
        <w:rPr>
          <w:lang w:val="en-US"/>
        </w:rPr>
        <w:t xml:space="preserve"> different time periods will be examined.</w:t>
      </w:r>
    </w:p>
    <w:p w:rsidR="000918C2" w:rsidRPr="00CA6939" w:rsidRDefault="000505F9" w:rsidP="00C84ACD">
      <w:pPr>
        <w:pStyle w:val="Nadpis2"/>
      </w:pPr>
      <w:r w:rsidRPr="00CA6939">
        <w:t>Material and Methods</w:t>
      </w:r>
      <w:r w:rsidR="000918C2" w:rsidRPr="00CA6939">
        <w:t xml:space="preserve"> </w:t>
      </w:r>
    </w:p>
    <w:p w:rsidR="00385134" w:rsidRPr="00CA6939" w:rsidRDefault="00455473" w:rsidP="00385134">
      <w:pPr>
        <w:rPr>
          <w:lang w:val="en-US"/>
        </w:rPr>
      </w:pPr>
      <w:r w:rsidRPr="00CA6939">
        <w:rPr>
          <w:lang w:val="en-US"/>
        </w:rPr>
        <w:t xml:space="preserve">As stated by Grönlund and Flygare </w:t>
      </w:r>
      <w:r w:rsidRPr="00CA6939">
        <w:rPr>
          <w:lang w:val="en-US"/>
        </w:rPr>
        <w:fldChar w:fldCharType="begin"/>
      </w:r>
      <w:r w:rsidRPr="00CA6939">
        <w:rPr>
          <w:lang w:val="en-US"/>
        </w:rPr>
        <w:instrText xml:space="preserve"> REF _Ref458925528 \r \h </w:instrText>
      </w:r>
      <w:r w:rsidRPr="00CA6939">
        <w:rPr>
          <w:lang w:val="en-US"/>
        </w:rPr>
      </w:r>
      <w:r w:rsidRPr="00CA6939">
        <w:rPr>
          <w:lang w:val="en-US"/>
        </w:rPr>
        <w:fldChar w:fldCharType="separate"/>
      </w:r>
      <w:r w:rsidR="00503208">
        <w:rPr>
          <w:lang w:val="en-US"/>
        </w:rPr>
        <w:t>[1]</w:t>
      </w:r>
      <w:r w:rsidRPr="00CA6939">
        <w:rPr>
          <w:lang w:val="en-US"/>
        </w:rPr>
        <w:fldChar w:fldCharType="end"/>
      </w:r>
      <w:r w:rsidRPr="00CA6939">
        <w:rPr>
          <w:lang w:val="en-US"/>
        </w:rPr>
        <w:t xml:space="preserve">, different indices should be tested to ensure that the </w:t>
      </w:r>
      <w:r w:rsidR="000D259C" w:rsidRPr="00CA6939">
        <w:rPr>
          <w:lang w:val="en-US"/>
        </w:rPr>
        <w:t>effects</w:t>
      </w:r>
      <w:r w:rsidRPr="00CA6939">
        <w:rPr>
          <w:lang w:val="en-US"/>
        </w:rPr>
        <w:t xml:space="preserve"> of</w:t>
      </w:r>
      <w:r w:rsidR="000D259C" w:rsidRPr="00CA6939">
        <w:rPr>
          <w:lang w:val="en-US"/>
        </w:rPr>
        <w:t xml:space="preserve"> open data are</w:t>
      </w:r>
      <w:r w:rsidRPr="00CA6939">
        <w:rPr>
          <w:lang w:val="en-US"/>
        </w:rPr>
        <w:t xml:space="preserve"> robust across different indices</w:t>
      </w:r>
      <w:r w:rsidR="00182765" w:rsidRPr="00CA6939">
        <w:rPr>
          <w:lang w:val="en-US"/>
        </w:rPr>
        <w:t xml:space="preserve"> and their rankings</w:t>
      </w:r>
      <w:r w:rsidRPr="00CA6939">
        <w:rPr>
          <w:lang w:val="en-US"/>
        </w:rPr>
        <w:t>. Th</w:t>
      </w:r>
      <w:r w:rsidR="00AA0C02" w:rsidRPr="00CA6939">
        <w:rPr>
          <w:lang w:val="en-US"/>
        </w:rPr>
        <w:t>erefore</w:t>
      </w:r>
      <w:r w:rsidRPr="00CA6939">
        <w:rPr>
          <w:lang w:val="en-US"/>
        </w:rPr>
        <w:t xml:space="preserve">, established indices will be used in order to </w:t>
      </w:r>
      <w:r w:rsidR="00182765" w:rsidRPr="00CA6939">
        <w:rPr>
          <w:lang w:val="en-US"/>
        </w:rPr>
        <w:t>measure</w:t>
      </w:r>
      <w:r w:rsidRPr="00CA6939">
        <w:rPr>
          <w:lang w:val="en-US"/>
        </w:rPr>
        <w:t xml:space="preserve"> the relationship between open data and </w:t>
      </w:r>
      <w:r w:rsidR="00AA0C02" w:rsidRPr="00CA6939">
        <w:rPr>
          <w:lang w:val="en-US"/>
        </w:rPr>
        <w:t xml:space="preserve">the </w:t>
      </w:r>
      <w:r w:rsidRPr="00CA6939">
        <w:rPr>
          <w:lang w:val="en-US"/>
        </w:rPr>
        <w:t xml:space="preserve">level of corruption </w:t>
      </w:r>
      <w:r w:rsidR="000D259C" w:rsidRPr="00CA6939">
        <w:rPr>
          <w:lang w:val="en-US"/>
        </w:rPr>
        <w:fldChar w:fldCharType="begin"/>
      </w:r>
      <w:r w:rsidR="000D259C" w:rsidRPr="00CA6939">
        <w:rPr>
          <w:lang w:val="en-US"/>
        </w:rPr>
        <w:instrText xml:space="preserve"> REF _Ref458925528 \r \h </w:instrText>
      </w:r>
      <w:r w:rsidR="000D259C" w:rsidRPr="00CA6939">
        <w:rPr>
          <w:lang w:val="en-US"/>
        </w:rPr>
      </w:r>
      <w:r w:rsidR="000D259C" w:rsidRPr="00CA6939">
        <w:rPr>
          <w:lang w:val="en-US"/>
        </w:rPr>
        <w:fldChar w:fldCharType="separate"/>
      </w:r>
      <w:r w:rsidR="00503208">
        <w:rPr>
          <w:lang w:val="en-US"/>
        </w:rPr>
        <w:t>[1]</w:t>
      </w:r>
      <w:r w:rsidR="000D259C" w:rsidRPr="00CA6939">
        <w:rPr>
          <w:lang w:val="en-US"/>
        </w:rPr>
        <w:fldChar w:fldCharType="end"/>
      </w:r>
      <w:r w:rsidR="000D259C" w:rsidRPr="00CA6939">
        <w:rPr>
          <w:lang w:val="en-US"/>
        </w:rPr>
        <w:t xml:space="preserve">, </w:t>
      </w:r>
      <w:r w:rsidR="000D259C" w:rsidRPr="00CA6939">
        <w:rPr>
          <w:lang w:val="en-US"/>
        </w:rPr>
        <w:fldChar w:fldCharType="begin"/>
      </w:r>
      <w:r w:rsidR="000D259C" w:rsidRPr="00CA6939">
        <w:rPr>
          <w:lang w:val="en-US"/>
        </w:rPr>
        <w:instrText xml:space="preserve"> REF _Ref458850668 \r \h </w:instrText>
      </w:r>
      <w:r w:rsidR="000D259C" w:rsidRPr="00CA6939">
        <w:rPr>
          <w:lang w:val="en-US"/>
        </w:rPr>
      </w:r>
      <w:r w:rsidR="000D259C" w:rsidRPr="00CA6939">
        <w:rPr>
          <w:lang w:val="en-US"/>
        </w:rPr>
        <w:fldChar w:fldCharType="separate"/>
      </w:r>
      <w:r w:rsidR="00503208">
        <w:rPr>
          <w:lang w:val="en-US"/>
        </w:rPr>
        <w:t>[3]</w:t>
      </w:r>
      <w:r w:rsidR="000D259C" w:rsidRPr="00CA6939">
        <w:rPr>
          <w:lang w:val="en-US"/>
        </w:rPr>
        <w:fldChar w:fldCharType="end"/>
      </w:r>
      <w:r w:rsidR="000D259C" w:rsidRPr="00CA6939">
        <w:rPr>
          <w:lang w:val="en-US"/>
        </w:rPr>
        <w:t xml:space="preserve">, </w:t>
      </w:r>
      <w:r w:rsidR="00B92631">
        <w:rPr>
          <w:lang w:val="en-US"/>
        </w:rPr>
        <w:fldChar w:fldCharType="begin"/>
      </w:r>
      <w:r w:rsidR="00B92631">
        <w:rPr>
          <w:lang w:val="en-US"/>
        </w:rPr>
        <w:instrText xml:space="preserve"> REF _Ref465774704 \r \h </w:instrText>
      </w:r>
      <w:r w:rsidR="00B92631">
        <w:rPr>
          <w:lang w:val="en-US"/>
        </w:rPr>
      </w:r>
      <w:r w:rsidR="00B92631">
        <w:rPr>
          <w:lang w:val="en-US"/>
        </w:rPr>
        <w:fldChar w:fldCharType="separate"/>
      </w:r>
      <w:r w:rsidR="00503208">
        <w:rPr>
          <w:lang w:val="en-US"/>
        </w:rPr>
        <w:t>[6]</w:t>
      </w:r>
      <w:r w:rsidR="00B92631">
        <w:rPr>
          <w:lang w:val="en-US"/>
        </w:rPr>
        <w:fldChar w:fldCharType="end"/>
      </w:r>
      <w:r w:rsidRPr="00CA6939">
        <w:rPr>
          <w:lang w:val="en-US"/>
        </w:rPr>
        <w:t>.</w:t>
      </w:r>
      <w:r w:rsidR="00525328" w:rsidRPr="00CA6939">
        <w:rPr>
          <w:lang w:val="en-US"/>
        </w:rPr>
        <w:t xml:space="preserve"> </w:t>
      </w:r>
      <w:r w:rsidR="00554F08" w:rsidRPr="00CA6939">
        <w:rPr>
          <w:lang w:val="en-US"/>
        </w:rPr>
        <w:t>Further</w:t>
      </w:r>
      <w:r w:rsidR="00AA0C02" w:rsidRPr="00CA6939">
        <w:rPr>
          <w:lang w:val="en-US"/>
        </w:rPr>
        <w:t>more</w:t>
      </w:r>
      <w:r w:rsidR="00554F08" w:rsidRPr="00CA6939">
        <w:rPr>
          <w:lang w:val="en-US"/>
        </w:rPr>
        <w:t xml:space="preserve">, for changes to be discernable there is a need of a few years’ time span </w:t>
      </w:r>
      <w:r w:rsidR="00554F08" w:rsidRPr="00CA6939">
        <w:rPr>
          <w:lang w:val="en-US"/>
        </w:rPr>
        <w:fldChar w:fldCharType="begin"/>
      </w:r>
      <w:r w:rsidR="00554F08" w:rsidRPr="00CA6939">
        <w:rPr>
          <w:lang w:val="en-US"/>
        </w:rPr>
        <w:instrText xml:space="preserve"> REF _Ref458925528 \r \h </w:instrText>
      </w:r>
      <w:r w:rsidR="00554F08" w:rsidRPr="00CA6939">
        <w:rPr>
          <w:lang w:val="en-US"/>
        </w:rPr>
      </w:r>
      <w:r w:rsidR="00554F08" w:rsidRPr="00CA6939">
        <w:rPr>
          <w:lang w:val="en-US"/>
        </w:rPr>
        <w:fldChar w:fldCharType="separate"/>
      </w:r>
      <w:r w:rsidR="00503208">
        <w:rPr>
          <w:lang w:val="en-US"/>
        </w:rPr>
        <w:t>[1]</w:t>
      </w:r>
      <w:r w:rsidR="00554F08" w:rsidRPr="00CA6939">
        <w:rPr>
          <w:lang w:val="en-US"/>
        </w:rPr>
        <w:fldChar w:fldCharType="end"/>
      </w:r>
      <w:r w:rsidR="00554F08" w:rsidRPr="00CA6939">
        <w:rPr>
          <w:lang w:val="en-US"/>
        </w:rPr>
        <w:t xml:space="preserve">, </w:t>
      </w:r>
      <w:r w:rsidR="00554F08" w:rsidRPr="00CA6939">
        <w:rPr>
          <w:lang w:val="en-US"/>
        </w:rPr>
        <w:fldChar w:fldCharType="begin"/>
      </w:r>
      <w:r w:rsidR="00554F08" w:rsidRPr="00CA6939">
        <w:rPr>
          <w:lang w:val="en-US"/>
        </w:rPr>
        <w:instrText xml:space="preserve"> REF _Ref458850670 \r \h </w:instrText>
      </w:r>
      <w:r w:rsidR="00554F08" w:rsidRPr="00CA6939">
        <w:rPr>
          <w:lang w:val="en-US"/>
        </w:rPr>
      </w:r>
      <w:r w:rsidR="00554F08" w:rsidRPr="00CA6939">
        <w:rPr>
          <w:lang w:val="en-US"/>
        </w:rPr>
        <w:fldChar w:fldCharType="separate"/>
      </w:r>
      <w:r w:rsidR="00503208">
        <w:rPr>
          <w:lang w:val="en-US"/>
        </w:rPr>
        <w:t>[5]</w:t>
      </w:r>
      <w:r w:rsidR="00554F08" w:rsidRPr="00CA6939">
        <w:rPr>
          <w:lang w:val="en-US"/>
        </w:rPr>
        <w:fldChar w:fldCharType="end"/>
      </w:r>
      <w:r w:rsidR="0023404B" w:rsidRPr="00CA6939">
        <w:rPr>
          <w:lang w:val="en-US"/>
        </w:rPr>
        <w:t xml:space="preserve">, </w:t>
      </w:r>
      <w:r w:rsidR="0023404B" w:rsidRPr="00CA6939">
        <w:rPr>
          <w:lang w:val="en-US"/>
        </w:rPr>
        <w:fldChar w:fldCharType="begin"/>
      </w:r>
      <w:r w:rsidR="0023404B" w:rsidRPr="00CA6939">
        <w:rPr>
          <w:lang w:val="en-US"/>
        </w:rPr>
        <w:instrText xml:space="preserve"> REF _Ref459283970 \r \h </w:instrText>
      </w:r>
      <w:r w:rsidR="0023404B" w:rsidRPr="00CA6939">
        <w:rPr>
          <w:lang w:val="en-US"/>
        </w:rPr>
      </w:r>
      <w:r w:rsidR="0023404B" w:rsidRPr="00CA6939">
        <w:rPr>
          <w:lang w:val="en-US"/>
        </w:rPr>
        <w:fldChar w:fldCharType="separate"/>
      </w:r>
      <w:r w:rsidR="00503208">
        <w:rPr>
          <w:lang w:val="en-US"/>
        </w:rPr>
        <w:t>[9]</w:t>
      </w:r>
      <w:r w:rsidR="0023404B" w:rsidRPr="00CA6939">
        <w:rPr>
          <w:lang w:val="en-US"/>
        </w:rPr>
        <w:fldChar w:fldCharType="end"/>
      </w:r>
      <w:r w:rsidR="00554F08" w:rsidRPr="00CA6939">
        <w:rPr>
          <w:lang w:val="en-US"/>
        </w:rPr>
        <w:t>. Finally, an adequate data sample is required</w:t>
      </w:r>
      <w:r w:rsidR="0023404B" w:rsidRPr="00CA6939">
        <w:rPr>
          <w:lang w:val="en-US"/>
        </w:rPr>
        <w:t xml:space="preserve"> </w:t>
      </w:r>
      <w:r w:rsidR="0023404B" w:rsidRPr="00CA6939">
        <w:rPr>
          <w:lang w:val="en-US"/>
        </w:rPr>
        <w:fldChar w:fldCharType="begin"/>
      </w:r>
      <w:r w:rsidR="0023404B" w:rsidRPr="00CA6939">
        <w:rPr>
          <w:lang w:val="en-US"/>
        </w:rPr>
        <w:instrText xml:space="preserve"> REF _Ref459283970 \r \h </w:instrText>
      </w:r>
      <w:r w:rsidR="0023404B" w:rsidRPr="00CA6939">
        <w:rPr>
          <w:lang w:val="en-US"/>
        </w:rPr>
      </w:r>
      <w:r w:rsidR="0023404B" w:rsidRPr="00CA6939">
        <w:rPr>
          <w:lang w:val="en-US"/>
        </w:rPr>
        <w:fldChar w:fldCharType="separate"/>
      </w:r>
      <w:r w:rsidR="00503208">
        <w:rPr>
          <w:lang w:val="en-US"/>
        </w:rPr>
        <w:t>[9]</w:t>
      </w:r>
      <w:r w:rsidR="0023404B" w:rsidRPr="00CA6939">
        <w:rPr>
          <w:lang w:val="en-US"/>
        </w:rPr>
        <w:fldChar w:fldCharType="end"/>
      </w:r>
      <w:r w:rsidR="0023404B" w:rsidRPr="00CA6939">
        <w:rPr>
          <w:lang w:val="en-US"/>
        </w:rPr>
        <w:t xml:space="preserve">, </w:t>
      </w:r>
      <w:r w:rsidR="0023404B" w:rsidRPr="00CA6939">
        <w:rPr>
          <w:lang w:val="en-US"/>
        </w:rPr>
        <w:fldChar w:fldCharType="begin"/>
      </w:r>
      <w:r w:rsidR="0023404B" w:rsidRPr="00CA6939">
        <w:rPr>
          <w:lang w:val="en-US"/>
        </w:rPr>
        <w:instrText xml:space="preserve"> REF _Ref459454316 \r \h </w:instrText>
      </w:r>
      <w:r w:rsidR="0023404B" w:rsidRPr="00CA6939">
        <w:rPr>
          <w:lang w:val="en-US"/>
        </w:rPr>
      </w:r>
      <w:r w:rsidR="0023404B" w:rsidRPr="00CA6939">
        <w:rPr>
          <w:lang w:val="en-US"/>
        </w:rPr>
        <w:fldChar w:fldCharType="separate"/>
      </w:r>
      <w:r w:rsidR="00503208">
        <w:rPr>
          <w:lang w:val="en-US"/>
        </w:rPr>
        <w:t>[12]</w:t>
      </w:r>
      <w:r w:rsidR="0023404B" w:rsidRPr="00CA6939">
        <w:rPr>
          <w:lang w:val="en-US"/>
        </w:rPr>
        <w:fldChar w:fldCharType="end"/>
      </w:r>
      <w:r w:rsidR="00554F08" w:rsidRPr="00CA6939">
        <w:rPr>
          <w:lang w:val="en-US"/>
        </w:rPr>
        <w:t>.</w:t>
      </w:r>
      <w:r w:rsidR="00AA0C02" w:rsidRPr="00CA6939">
        <w:rPr>
          <w:lang w:val="en-US"/>
        </w:rPr>
        <w:t xml:space="preserve"> </w:t>
      </w:r>
    </w:p>
    <w:p w:rsidR="00455473" w:rsidRPr="00CA6939" w:rsidRDefault="00455473" w:rsidP="00525328">
      <w:pPr>
        <w:rPr>
          <w:lang w:val="en-US"/>
        </w:rPr>
      </w:pPr>
      <w:r w:rsidRPr="00CA6939">
        <w:rPr>
          <w:lang w:val="en-US"/>
        </w:rPr>
        <w:t xml:space="preserve">Through the last few years, several </w:t>
      </w:r>
      <w:r w:rsidR="00525328" w:rsidRPr="00CA6939">
        <w:rPr>
          <w:lang w:val="en-US"/>
        </w:rPr>
        <w:t xml:space="preserve">different </w:t>
      </w:r>
      <w:r w:rsidRPr="00CA6939">
        <w:rPr>
          <w:lang w:val="en-US"/>
        </w:rPr>
        <w:t xml:space="preserve">indices focusing on the </w:t>
      </w:r>
      <w:r w:rsidR="00525328" w:rsidRPr="00CA6939">
        <w:rPr>
          <w:lang w:val="en-US"/>
        </w:rPr>
        <w:t>measurement</w:t>
      </w:r>
      <w:r w:rsidRPr="00CA6939">
        <w:rPr>
          <w:lang w:val="en-US"/>
        </w:rPr>
        <w:t xml:space="preserve"> of open data </w:t>
      </w:r>
      <w:r w:rsidR="0083221E" w:rsidRPr="00CA6939">
        <w:rPr>
          <w:lang w:val="en-US"/>
        </w:rPr>
        <w:t>effects</w:t>
      </w:r>
      <w:r w:rsidRPr="00CA6939">
        <w:rPr>
          <w:lang w:val="en-US"/>
        </w:rPr>
        <w:t xml:space="preserve"> were introduced. These are, e.g., the Open Data Barometer index </w:t>
      </w:r>
      <w:r w:rsidR="00525328" w:rsidRPr="00CA6939">
        <w:rPr>
          <w:lang w:val="en-US"/>
        </w:rPr>
        <w:t xml:space="preserve">(ODBI) </w:t>
      </w:r>
      <w:r w:rsidRPr="00CA6939">
        <w:rPr>
          <w:lang w:val="en-US"/>
        </w:rPr>
        <w:t xml:space="preserve">produced by the World Wide Web Foundation (W3F), Open Knowledge Foundation’s (OKF) Global Open Data Index (GODI), the OURdata (Open, Useful, Reusable Government Data) Index introduced by the Organization for Economic Co-operation and Development (OECD) </w:t>
      </w:r>
      <w:r w:rsidR="00525328" w:rsidRPr="00CA6939">
        <w:rPr>
          <w:lang w:val="en-US"/>
        </w:rPr>
        <w:t>and</w:t>
      </w:r>
      <w:r w:rsidRPr="00CA6939">
        <w:rPr>
          <w:lang w:val="en-US"/>
        </w:rPr>
        <w:t xml:space="preserve"> the </w:t>
      </w:r>
      <w:r w:rsidR="0083221E" w:rsidRPr="00CA6939">
        <w:rPr>
          <w:lang w:val="en-US"/>
        </w:rPr>
        <w:t xml:space="preserve">European Public Sector </w:t>
      </w:r>
      <w:r w:rsidR="00525328" w:rsidRPr="00CA6939">
        <w:rPr>
          <w:lang w:val="en-US"/>
        </w:rPr>
        <w:t>(</w:t>
      </w:r>
      <w:r w:rsidR="0083221E" w:rsidRPr="00CA6939">
        <w:rPr>
          <w:lang w:val="en-US"/>
        </w:rPr>
        <w:t>PSI</w:t>
      </w:r>
      <w:r w:rsidR="00525328" w:rsidRPr="00CA6939">
        <w:rPr>
          <w:lang w:val="en-US"/>
        </w:rPr>
        <w:t>)</w:t>
      </w:r>
      <w:r w:rsidR="0083221E" w:rsidRPr="00CA6939">
        <w:rPr>
          <w:lang w:val="en-US"/>
        </w:rPr>
        <w:t xml:space="preserve"> Scoreboard </w:t>
      </w:r>
      <w:r w:rsidR="00525328" w:rsidRPr="00CA6939">
        <w:rPr>
          <w:lang w:val="en-US"/>
        </w:rPr>
        <w:t>(PSIS) measuring the status of open d</w:t>
      </w:r>
      <w:r w:rsidR="0083221E" w:rsidRPr="00CA6939">
        <w:rPr>
          <w:lang w:val="en-US"/>
        </w:rPr>
        <w:t>ata and PSI re-use throughout the E</w:t>
      </w:r>
      <w:r w:rsidR="00525328" w:rsidRPr="00CA6939">
        <w:rPr>
          <w:lang w:val="en-US"/>
        </w:rPr>
        <w:t>uropean Union (EU)</w:t>
      </w:r>
      <w:r w:rsidR="00B92631">
        <w:rPr>
          <w:lang w:val="en-US"/>
        </w:rPr>
        <w:t xml:space="preserve"> </w:t>
      </w:r>
      <w:r w:rsidR="00B92631">
        <w:rPr>
          <w:lang w:val="en-US"/>
        </w:rPr>
        <w:fldChar w:fldCharType="begin"/>
      </w:r>
      <w:r w:rsidR="00B92631">
        <w:rPr>
          <w:lang w:val="en-US"/>
        </w:rPr>
        <w:instrText xml:space="preserve"> REF _Ref465774704 \r \h </w:instrText>
      </w:r>
      <w:r w:rsidR="00B92631">
        <w:rPr>
          <w:lang w:val="en-US"/>
        </w:rPr>
      </w:r>
      <w:r w:rsidR="00B92631">
        <w:rPr>
          <w:lang w:val="en-US"/>
        </w:rPr>
        <w:fldChar w:fldCharType="separate"/>
      </w:r>
      <w:r w:rsidR="00503208">
        <w:rPr>
          <w:lang w:val="en-US"/>
        </w:rPr>
        <w:t>[6]</w:t>
      </w:r>
      <w:r w:rsidR="00B92631">
        <w:rPr>
          <w:lang w:val="en-US"/>
        </w:rPr>
        <w:fldChar w:fldCharType="end"/>
      </w:r>
      <w:r w:rsidR="00B92631">
        <w:rPr>
          <w:lang w:val="en-US"/>
        </w:rPr>
        <w:t xml:space="preserve">, </w:t>
      </w:r>
      <w:r w:rsidR="00B92631">
        <w:rPr>
          <w:lang w:val="en-US"/>
        </w:rPr>
        <w:fldChar w:fldCharType="begin"/>
      </w:r>
      <w:r w:rsidR="00B92631">
        <w:rPr>
          <w:lang w:val="en-US"/>
        </w:rPr>
        <w:instrText xml:space="preserve"> REF _Ref465774375 \r \h </w:instrText>
      </w:r>
      <w:r w:rsidR="00B92631">
        <w:rPr>
          <w:lang w:val="en-US"/>
        </w:rPr>
      </w:r>
      <w:r w:rsidR="00B92631">
        <w:rPr>
          <w:lang w:val="en-US"/>
        </w:rPr>
        <w:fldChar w:fldCharType="separate"/>
      </w:r>
      <w:r w:rsidR="00503208">
        <w:rPr>
          <w:lang w:val="en-US"/>
        </w:rPr>
        <w:t>[7]</w:t>
      </w:r>
      <w:r w:rsidR="00B92631">
        <w:rPr>
          <w:lang w:val="en-US"/>
        </w:rPr>
        <w:fldChar w:fldCharType="end"/>
      </w:r>
      <w:r w:rsidR="00525328" w:rsidRPr="00CA6939">
        <w:rPr>
          <w:lang w:val="en-US"/>
        </w:rPr>
        <w:t>. While it is important to obtain an adequate data sample, the ODBI and GODI will be used</w:t>
      </w:r>
      <w:r w:rsidR="001E1BD0" w:rsidRPr="00CA6939">
        <w:rPr>
          <w:lang w:val="en-US"/>
        </w:rPr>
        <w:t xml:space="preserve"> as independent variables</w:t>
      </w:r>
      <w:r w:rsidR="00525328" w:rsidRPr="00CA6939">
        <w:rPr>
          <w:lang w:val="en-US"/>
        </w:rPr>
        <w:t xml:space="preserve">. The OURdata Index was published only once yet and the PSIS covers only the EU Member States. </w:t>
      </w:r>
      <w:r w:rsidR="00F81E68" w:rsidRPr="00CA6939">
        <w:rPr>
          <w:lang w:val="en-US"/>
        </w:rPr>
        <w:t xml:space="preserve">The Corruption Perceptions Index (CPI) and </w:t>
      </w:r>
      <w:r w:rsidR="002D6F8D" w:rsidRPr="00CA6939">
        <w:rPr>
          <w:lang w:val="en-US"/>
        </w:rPr>
        <w:t xml:space="preserve">also </w:t>
      </w:r>
      <w:r w:rsidR="00F81E68" w:rsidRPr="00CA6939">
        <w:rPr>
          <w:lang w:val="en-US"/>
        </w:rPr>
        <w:t>the Corruption Control Index (CCI) were then used as dependent variables.</w:t>
      </w:r>
      <w:r w:rsidR="00B92631">
        <w:rPr>
          <w:lang w:val="en-US"/>
        </w:rPr>
        <w:t xml:space="preserve"> Those two indices are the most widely used measures of corruption and their</w:t>
      </w:r>
      <w:r w:rsidR="00B92631" w:rsidRPr="00B92631">
        <w:t xml:space="preserve"> </w:t>
      </w:r>
      <w:r w:rsidR="00B92631" w:rsidRPr="00B92631">
        <w:rPr>
          <w:lang w:val="en-US"/>
        </w:rPr>
        <w:t xml:space="preserve">validity </w:t>
      </w:r>
      <w:r w:rsidR="00B92631">
        <w:rPr>
          <w:lang w:val="en-US"/>
        </w:rPr>
        <w:t>have</w:t>
      </w:r>
      <w:r w:rsidR="00B92631" w:rsidRPr="00B92631">
        <w:rPr>
          <w:lang w:val="en-US"/>
        </w:rPr>
        <w:t xml:space="preserve"> been t</w:t>
      </w:r>
      <w:r w:rsidR="00B92631">
        <w:rPr>
          <w:lang w:val="en-US"/>
        </w:rPr>
        <w:t>ested by several researchers. A</w:t>
      </w:r>
      <w:r w:rsidR="00B92631" w:rsidRPr="00B92631">
        <w:rPr>
          <w:lang w:val="en-US"/>
        </w:rPr>
        <w:t xml:space="preserve"> review of these studies can be fou</w:t>
      </w:r>
      <w:r w:rsidR="00B92631">
        <w:rPr>
          <w:lang w:val="en-US"/>
        </w:rPr>
        <w:t xml:space="preserve">nd, e.g., in Shim and Eom </w:t>
      </w:r>
      <w:r w:rsidR="00B92631">
        <w:rPr>
          <w:lang w:val="en-US"/>
        </w:rPr>
        <w:fldChar w:fldCharType="begin"/>
      </w:r>
      <w:r w:rsidR="00B92631">
        <w:rPr>
          <w:lang w:val="en-US"/>
        </w:rPr>
        <w:instrText xml:space="preserve"> REF _Ref459454316 \r \h </w:instrText>
      </w:r>
      <w:r w:rsidR="00B92631">
        <w:rPr>
          <w:lang w:val="en-US"/>
        </w:rPr>
      </w:r>
      <w:r w:rsidR="00B92631">
        <w:rPr>
          <w:lang w:val="en-US"/>
        </w:rPr>
        <w:fldChar w:fldCharType="separate"/>
      </w:r>
      <w:r w:rsidR="00503208">
        <w:rPr>
          <w:lang w:val="en-US"/>
        </w:rPr>
        <w:t>[12]</w:t>
      </w:r>
      <w:r w:rsidR="00B92631">
        <w:rPr>
          <w:lang w:val="en-US"/>
        </w:rPr>
        <w:fldChar w:fldCharType="end"/>
      </w:r>
      <w:r w:rsidR="00B92631" w:rsidRPr="00B92631">
        <w:rPr>
          <w:lang w:val="en-US"/>
        </w:rPr>
        <w:t>.</w:t>
      </w:r>
    </w:p>
    <w:p w:rsidR="00861459" w:rsidRPr="00CA6939" w:rsidRDefault="00C75548" w:rsidP="0013174C">
      <w:pPr>
        <w:rPr>
          <w:lang w:val="en-US"/>
        </w:rPr>
      </w:pPr>
      <w:r w:rsidRPr="00CA6939">
        <w:rPr>
          <w:lang w:val="en-US"/>
        </w:rPr>
        <w:t>The ODB</w:t>
      </w:r>
      <w:r w:rsidR="00926B99" w:rsidRPr="00CA6939">
        <w:rPr>
          <w:lang w:val="en-US"/>
        </w:rPr>
        <w:t>I</w:t>
      </w:r>
      <w:r w:rsidRPr="00CA6939">
        <w:rPr>
          <w:lang w:val="en-US"/>
        </w:rPr>
        <w:t xml:space="preserve"> aims to uncover the true prevalence and impact of open data initiatives around the world. It analyses global trends, and provides comparative data on </w:t>
      </w:r>
      <w:r w:rsidR="00926B99" w:rsidRPr="00CA6939">
        <w:rPr>
          <w:lang w:val="en-US"/>
        </w:rPr>
        <w:t xml:space="preserve">92 </w:t>
      </w:r>
      <w:r w:rsidRPr="00CA6939">
        <w:rPr>
          <w:lang w:val="en-US"/>
        </w:rPr>
        <w:t xml:space="preserve">countries via an in-depth methodology combining related contextual data, technical assessments and secondary indicators to explore multiple dimensions of open data readiness, implementation and impact. The GODI </w:t>
      </w:r>
      <w:r w:rsidR="001F7C2A">
        <w:rPr>
          <w:lang w:val="en-US"/>
        </w:rPr>
        <w:t xml:space="preserve">then </w:t>
      </w:r>
      <w:r w:rsidRPr="00CA6939">
        <w:rPr>
          <w:lang w:val="en-US"/>
        </w:rPr>
        <w:t xml:space="preserve">assesses the state of </w:t>
      </w:r>
      <w:r w:rsidR="001F7C2A">
        <w:rPr>
          <w:lang w:val="en-US"/>
        </w:rPr>
        <w:t>open data</w:t>
      </w:r>
      <w:r w:rsidRPr="00CA6939">
        <w:rPr>
          <w:lang w:val="en-US"/>
        </w:rPr>
        <w:t xml:space="preserve"> around </w:t>
      </w:r>
      <w:r w:rsidR="00926B99" w:rsidRPr="00CA6939">
        <w:rPr>
          <w:lang w:val="en-US"/>
        </w:rPr>
        <w:t xml:space="preserve">122 places in </w:t>
      </w:r>
      <w:r w:rsidRPr="00CA6939">
        <w:rPr>
          <w:lang w:val="en-US"/>
        </w:rPr>
        <w:t xml:space="preserve">the world and has been developed to help answer such questions by collecting and presenting information on the state of open data around the world to ignite discussions between citizens and governments. </w:t>
      </w:r>
      <w:r w:rsidR="00926B99" w:rsidRPr="00CA6939">
        <w:rPr>
          <w:lang w:val="en-US"/>
        </w:rPr>
        <w:t>Datasets for both these indices are av</w:t>
      </w:r>
      <w:r w:rsidR="0013174C" w:rsidRPr="00CA6939">
        <w:rPr>
          <w:lang w:val="en-US"/>
        </w:rPr>
        <w:t xml:space="preserve">ailable for the years from 2013 to </w:t>
      </w:r>
      <w:r w:rsidR="00926B99" w:rsidRPr="00CA6939">
        <w:rPr>
          <w:lang w:val="en-US"/>
        </w:rPr>
        <w:t>2015</w:t>
      </w:r>
      <w:r w:rsidR="00C56E47" w:rsidRPr="00CA6939">
        <w:rPr>
          <w:lang w:val="en-US"/>
        </w:rPr>
        <w:t xml:space="preserve"> and the values range from 0 to 100</w:t>
      </w:r>
      <w:r w:rsidR="00926B99" w:rsidRPr="00CA6939">
        <w:rPr>
          <w:lang w:val="en-US"/>
        </w:rPr>
        <w:t>.</w:t>
      </w:r>
      <w:r w:rsidR="0013174C" w:rsidRPr="00CA6939">
        <w:rPr>
          <w:lang w:val="en-US"/>
        </w:rPr>
        <w:t xml:space="preserve"> </w:t>
      </w:r>
      <w:r w:rsidR="006761C9" w:rsidRPr="00CA6939">
        <w:rPr>
          <w:lang w:val="en-US"/>
        </w:rPr>
        <w:t xml:space="preserve">Transparency International has published the </w:t>
      </w:r>
      <w:r w:rsidR="002D6F8D" w:rsidRPr="00CA6939">
        <w:rPr>
          <w:lang w:val="en-US"/>
        </w:rPr>
        <w:t>CPI</w:t>
      </w:r>
      <w:r w:rsidR="006761C9" w:rsidRPr="00CA6939">
        <w:rPr>
          <w:lang w:val="en-US"/>
        </w:rPr>
        <w:t xml:space="preserve"> since 19</w:t>
      </w:r>
      <w:r w:rsidR="00861459" w:rsidRPr="00CA6939">
        <w:rPr>
          <w:lang w:val="en-US"/>
        </w:rPr>
        <w:t xml:space="preserve">95. </w:t>
      </w:r>
      <w:r w:rsidR="002D6F8D" w:rsidRPr="00CA6939">
        <w:rPr>
          <w:lang w:val="en-US"/>
        </w:rPr>
        <w:t>It</w:t>
      </w:r>
      <w:r w:rsidR="00861459" w:rsidRPr="00CA6939">
        <w:rPr>
          <w:lang w:val="en-US"/>
        </w:rPr>
        <w:t xml:space="preserve"> currently covers perceptions of public sector corruption in 168 countries on a scale from </w:t>
      </w:r>
      <w:r w:rsidR="00F2098C" w:rsidRPr="00CA6939">
        <w:rPr>
          <w:lang w:val="en-US"/>
        </w:rPr>
        <w:t xml:space="preserve">0 (highly corrupt) to </w:t>
      </w:r>
      <w:r w:rsidR="00861459" w:rsidRPr="00CA6939">
        <w:rPr>
          <w:lang w:val="en-US"/>
        </w:rPr>
        <w:t xml:space="preserve">100 (very clean). Countries’ scores can be helped </w:t>
      </w:r>
      <w:r w:rsidR="00270395" w:rsidRPr="00CA6939">
        <w:rPr>
          <w:lang w:val="en-US"/>
        </w:rPr>
        <w:t>by Open G</w:t>
      </w:r>
      <w:r w:rsidR="00861459" w:rsidRPr="00CA6939">
        <w:rPr>
          <w:lang w:val="en-US"/>
        </w:rPr>
        <w:t xml:space="preserve">overnment where the public can hold leaders to </w:t>
      </w:r>
      <w:r w:rsidR="00861459" w:rsidRPr="00CA6939">
        <w:rPr>
          <w:lang w:val="en-US"/>
        </w:rPr>
        <w:lastRenderedPageBreak/>
        <w:t>account, while a poor score is a sign of prevalent bribery, lack of punishment for corruption and public institutions that don’t respond to citizens’ needs.</w:t>
      </w:r>
      <w:r w:rsidR="00106C5B" w:rsidRPr="00CA6939">
        <w:rPr>
          <w:lang w:val="en-US"/>
        </w:rPr>
        <w:t xml:space="preserve"> </w:t>
      </w:r>
      <w:r w:rsidR="00861459" w:rsidRPr="00CA6939">
        <w:rPr>
          <w:lang w:val="en-US"/>
        </w:rPr>
        <w:t xml:space="preserve">The World Bank’s </w:t>
      </w:r>
      <w:r w:rsidR="002D6F8D" w:rsidRPr="00CA6939">
        <w:rPr>
          <w:lang w:val="en-US"/>
        </w:rPr>
        <w:t>CCI</w:t>
      </w:r>
      <w:r w:rsidR="005B2B02" w:rsidRPr="00CA6939">
        <w:rPr>
          <w:lang w:val="en-US"/>
        </w:rPr>
        <w:t xml:space="preserve"> </w:t>
      </w:r>
      <w:r w:rsidR="00861459" w:rsidRPr="00CA6939">
        <w:rPr>
          <w:lang w:val="en-US"/>
        </w:rPr>
        <w:t xml:space="preserve">is one of the six broad dimensions of governance for 215 countries </w:t>
      </w:r>
      <w:r w:rsidR="00106C5B" w:rsidRPr="00CA6939">
        <w:rPr>
          <w:lang w:val="en-US"/>
        </w:rPr>
        <w:t xml:space="preserve">since 1996. </w:t>
      </w:r>
      <w:r w:rsidR="002D6F8D" w:rsidRPr="00CA6939">
        <w:rPr>
          <w:lang w:val="en-US"/>
        </w:rPr>
        <w:t>It</w:t>
      </w:r>
      <w:r w:rsidR="00106C5B" w:rsidRPr="00CA6939">
        <w:rPr>
          <w:lang w:val="en-US"/>
        </w:rPr>
        <w:t xml:space="preserve"> captures perceptions of the extent to which public power is exercised for private gain, including both petty and grand forms of corruption, as well as capture of the state by elites and private interests.</w:t>
      </w:r>
      <w:r w:rsidR="00C56E47" w:rsidRPr="00CA6939">
        <w:rPr>
          <w:lang w:val="en-US"/>
        </w:rPr>
        <w:t xml:space="preserve"> The CCI takes values between -2.5 (weak) and 2.5 (strong) governance performance.</w:t>
      </w:r>
    </w:p>
    <w:p w:rsidR="00FA3519" w:rsidRPr="00CA6939" w:rsidRDefault="00B63A03" w:rsidP="00FA3519">
      <w:pPr>
        <w:rPr>
          <w:lang w:val="en-US"/>
        </w:rPr>
      </w:pPr>
      <w:r w:rsidRPr="00CA6939">
        <w:rPr>
          <w:lang w:val="en-US"/>
        </w:rPr>
        <w:t xml:space="preserve">At first, the relationship between open data and corruption in </w:t>
      </w:r>
      <w:r w:rsidR="0093337D" w:rsidRPr="00CA6939">
        <w:rPr>
          <w:lang w:val="en-US"/>
        </w:rPr>
        <w:t xml:space="preserve">two different years: 2013 </w:t>
      </w:r>
      <w:r w:rsidRPr="00CA6939">
        <w:rPr>
          <w:lang w:val="en-US"/>
        </w:rPr>
        <w:t xml:space="preserve">and 2015 will be examined. </w:t>
      </w:r>
      <w:r w:rsidR="008667AB" w:rsidRPr="00CA6939">
        <w:rPr>
          <w:lang w:val="en-US"/>
        </w:rPr>
        <w:t xml:space="preserve">For this purpose, </w:t>
      </w:r>
      <w:r w:rsidR="00FA3519" w:rsidRPr="00CA6939">
        <w:rPr>
          <w:lang w:val="en-US"/>
        </w:rPr>
        <w:t xml:space="preserve">correlation analysis </w:t>
      </w:r>
      <w:r w:rsidR="00FA3519">
        <w:rPr>
          <w:lang w:val="en-US"/>
        </w:rPr>
        <w:t xml:space="preserve">and </w:t>
      </w:r>
      <w:r w:rsidR="008667AB" w:rsidRPr="00CA6939">
        <w:rPr>
          <w:lang w:val="en-US"/>
        </w:rPr>
        <w:t xml:space="preserve">a simple linear regression </w:t>
      </w:r>
      <w:r w:rsidR="0093337D" w:rsidRPr="00CA6939">
        <w:rPr>
          <w:lang w:val="en-US"/>
        </w:rPr>
        <w:t xml:space="preserve">model </w:t>
      </w:r>
      <w:r w:rsidR="008667AB" w:rsidRPr="00CA6939">
        <w:rPr>
          <w:lang w:val="en-US"/>
        </w:rPr>
        <w:t xml:space="preserve">will be used. </w:t>
      </w:r>
      <w:r w:rsidR="00887677" w:rsidRPr="00CA6939">
        <w:rPr>
          <w:lang w:val="en-US"/>
        </w:rPr>
        <w:t xml:space="preserve">Correlations between defined variables will be </w:t>
      </w:r>
      <w:r w:rsidR="00182765" w:rsidRPr="00CA6939">
        <w:rPr>
          <w:lang w:val="en-US"/>
        </w:rPr>
        <w:t>measured</w:t>
      </w:r>
      <w:r w:rsidR="00887677" w:rsidRPr="00CA6939">
        <w:rPr>
          <w:lang w:val="en-US"/>
        </w:rPr>
        <w:t xml:space="preserve"> by the value of the</w:t>
      </w:r>
      <w:r w:rsidR="00182765" w:rsidRPr="00CA6939">
        <w:rPr>
          <w:lang w:val="en-US"/>
        </w:rPr>
        <w:t xml:space="preserve"> Pearson's correlation coefficient. According to Nardo et al. </w:t>
      </w:r>
      <w:r w:rsidR="00182765" w:rsidRPr="00CA6939">
        <w:rPr>
          <w:lang w:val="en-US"/>
        </w:rPr>
        <w:fldChar w:fldCharType="begin"/>
      </w:r>
      <w:r w:rsidR="00182765" w:rsidRPr="00CA6939">
        <w:rPr>
          <w:lang w:val="en-US"/>
        </w:rPr>
        <w:instrText xml:space="preserve"> REF _Ref459186696 \r \h </w:instrText>
      </w:r>
      <w:r w:rsidR="00182765" w:rsidRPr="00CA6939">
        <w:rPr>
          <w:lang w:val="en-US"/>
        </w:rPr>
      </w:r>
      <w:r w:rsidR="00182765" w:rsidRPr="00CA6939">
        <w:rPr>
          <w:lang w:val="en-US"/>
        </w:rPr>
        <w:fldChar w:fldCharType="separate"/>
      </w:r>
      <w:r w:rsidR="00503208">
        <w:rPr>
          <w:lang w:val="en-US"/>
        </w:rPr>
        <w:t>[10]</w:t>
      </w:r>
      <w:r w:rsidR="00182765" w:rsidRPr="00CA6939">
        <w:rPr>
          <w:lang w:val="en-US"/>
        </w:rPr>
        <w:fldChar w:fldCharType="end"/>
      </w:r>
      <w:r w:rsidR="00182765" w:rsidRPr="00CA6939">
        <w:rPr>
          <w:lang w:val="en-US"/>
        </w:rPr>
        <w:t xml:space="preserve">, several correlation measures (measures of association) can be used to validate the conformity of the rank methods for the indices, such as Pearson’s correlation coefficient, Spearman’s rank correlation coefficient or Kendall’s rank correlation coefficient, Correlation ratio or Mutual information. In this study, Spearman’s and Kendall’s rank correlation coefficients </w:t>
      </w:r>
      <w:r w:rsidR="00211B14" w:rsidRPr="00CA6939">
        <w:rPr>
          <w:lang w:val="en-US"/>
        </w:rPr>
        <w:t>will be</w:t>
      </w:r>
      <w:r w:rsidR="00182765" w:rsidRPr="00CA6939">
        <w:rPr>
          <w:lang w:val="en-US"/>
        </w:rPr>
        <w:t xml:space="preserve"> used. Contrary to the Spearman’s coefficient, the Kendall’s coefficient is not affected by how far from each other ranks are but only by whether the ranks between observations are equal or not </w:t>
      </w:r>
      <w:r w:rsidR="00182765" w:rsidRPr="00CA6939">
        <w:rPr>
          <w:lang w:val="en-US"/>
        </w:rPr>
        <w:fldChar w:fldCharType="begin"/>
      </w:r>
      <w:r w:rsidR="00182765" w:rsidRPr="00CA6939">
        <w:rPr>
          <w:lang w:val="en-US"/>
        </w:rPr>
        <w:instrText xml:space="preserve"> REF _Ref459186696 \r \h </w:instrText>
      </w:r>
      <w:r w:rsidR="00182765" w:rsidRPr="00CA6939">
        <w:rPr>
          <w:lang w:val="en-US"/>
        </w:rPr>
      </w:r>
      <w:r w:rsidR="00182765" w:rsidRPr="00CA6939">
        <w:rPr>
          <w:lang w:val="en-US"/>
        </w:rPr>
        <w:fldChar w:fldCharType="separate"/>
      </w:r>
      <w:r w:rsidR="00503208">
        <w:rPr>
          <w:lang w:val="en-US"/>
        </w:rPr>
        <w:t>[10]</w:t>
      </w:r>
      <w:r w:rsidR="00182765" w:rsidRPr="00CA6939">
        <w:rPr>
          <w:lang w:val="en-US"/>
        </w:rPr>
        <w:fldChar w:fldCharType="end"/>
      </w:r>
      <w:r w:rsidR="00182765" w:rsidRPr="00CA6939">
        <w:rPr>
          <w:lang w:val="en-US"/>
        </w:rPr>
        <w:t xml:space="preserve">. </w:t>
      </w:r>
      <w:r w:rsidR="00FA3519">
        <w:rPr>
          <w:lang w:val="en-US"/>
        </w:rPr>
        <w:t>Then, t</w:t>
      </w:r>
      <w:r w:rsidR="00FA3519" w:rsidRPr="00CA6939">
        <w:rPr>
          <w:lang w:val="en-US"/>
        </w:rPr>
        <w:t>he following regression function w</w:t>
      </w:r>
      <w:r w:rsidR="00FA3519">
        <w:rPr>
          <w:lang w:val="en-US"/>
        </w:rPr>
        <w:t>ill be</w:t>
      </w:r>
      <w:r w:rsidR="00FA3519" w:rsidRPr="00CA6939">
        <w:rPr>
          <w:lang w:val="en-US"/>
        </w:rPr>
        <w:t xml:space="preserve"> used to verify the relationship between </w:t>
      </w:r>
      <w:r w:rsidR="00336387">
        <w:rPr>
          <w:lang w:val="en-US"/>
        </w:rPr>
        <w:t>selected indices</w:t>
      </w:r>
      <w:r w:rsidR="00FA3519" w:rsidRPr="00CA6939">
        <w:rPr>
          <w:lang w:val="en-US"/>
        </w:rPr>
        <w:t xml:space="preserve">. The function is based on the least squares method and was previously applied by Knězáčková and Linhartová </w:t>
      </w:r>
      <w:r w:rsidR="00FA3519" w:rsidRPr="00CA6939">
        <w:rPr>
          <w:lang w:val="en-US"/>
        </w:rPr>
        <w:fldChar w:fldCharType="begin"/>
      </w:r>
      <w:r w:rsidR="00FA3519" w:rsidRPr="00CA6939">
        <w:rPr>
          <w:lang w:val="en-US"/>
        </w:rPr>
        <w:instrText xml:space="preserve"> REF _Ref458850668 \r \h </w:instrText>
      </w:r>
      <w:r w:rsidR="00FA3519" w:rsidRPr="00CA6939">
        <w:rPr>
          <w:lang w:val="en-US"/>
        </w:rPr>
      </w:r>
      <w:r w:rsidR="00FA3519" w:rsidRPr="00CA6939">
        <w:rPr>
          <w:lang w:val="en-US"/>
        </w:rPr>
        <w:fldChar w:fldCharType="separate"/>
      </w:r>
      <w:r w:rsidR="00503208">
        <w:rPr>
          <w:lang w:val="en-US"/>
        </w:rPr>
        <w:t>[3]</w:t>
      </w:r>
      <w:r w:rsidR="00FA3519" w:rsidRPr="00CA6939">
        <w:rPr>
          <w:lang w:val="en-US"/>
        </w:rPr>
        <w:fldChar w:fldCharType="end"/>
      </w:r>
      <w:r w:rsidR="00FA3519" w:rsidRPr="00CA6939">
        <w:rPr>
          <w:lang w:val="en-US"/>
        </w:rPr>
        <w:t xml:space="preserve">, Lupu and Lazar </w:t>
      </w:r>
      <w:r w:rsidR="00FA3519" w:rsidRPr="00CA6939">
        <w:rPr>
          <w:lang w:val="en-US"/>
        </w:rPr>
        <w:fldChar w:fldCharType="begin"/>
      </w:r>
      <w:r w:rsidR="00FA3519" w:rsidRPr="00CA6939">
        <w:rPr>
          <w:lang w:val="en-US"/>
        </w:rPr>
        <w:instrText xml:space="preserve"> REF _Ref458850670 \r \h </w:instrText>
      </w:r>
      <w:r w:rsidR="00FA3519" w:rsidRPr="00CA6939">
        <w:rPr>
          <w:lang w:val="en-US"/>
        </w:rPr>
      </w:r>
      <w:r w:rsidR="00FA3519" w:rsidRPr="00CA6939">
        <w:rPr>
          <w:lang w:val="en-US"/>
        </w:rPr>
        <w:fldChar w:fldCharType="separate"/>
      </w:r>
      <w:r w:rsidR="00503208">
        <w:rPr>
          <w:lang w:val="en-US"/>
        </w:rPr>
        <w:t>[5]</w:t>
      </w:r>
      <w:r w:rsidR="00FA3519" w:rsidRPr="00CA6939">
        <w:rPr>
          <w:lang w:val="en-US"/>
        </w:rPr>
        <w:fldChar w:fldCharType="end"/>
      </w:r>
      <w:r w:rsidR="00FA3519" w:rsidRPr="00CA6939">
        <w:rPr>
          <w:lang w:val="en-US"/>
        </w:rPr>
        <w:t xml:space="preserve">, and Mistry and Jalal </w:t>
      </w:r>
      <w:r w:rsidR="00FA3519" w:rsidRPr="00CA6939">
        <w:rPr>
          <w:lang w:val="en-US"/>
        </w:rPr>
        <w:fldChar w:fldCharType="begin"/>
      </w:r>
      <w:r w:rsidR="00FA3519" w:rsidRPr="00CA6939">
        <w:rPr>
          <w:lang w:val="en-US"/>
        </w:rPr>
        <w:instrText xml:space="preserve"> REF _Ref459283970 \r \h </w:instrText>
      </w:r>
      <w:r w:rsidR="00FA3519" w:rsidRPr="00CA6939">
        <w:rPr>
          <w:lang w:val="en-US"/>
        </w:rPr>
      </w:r>
      <w:r w:rsidR="00FA3519" w:rsidRPr="00CA6939">
        <w:rPr>
          <w:lang w:val="en-US"/>
        </w:rPr>
        <w:fldChar w:fldCharType="separate"/>
      </w:r>
      <w:r w:rsidR="00503208">
        <w:rPr>
          <w:lang w:val="en-US"/>
        </w:rPr>
        <w:t>[9]</w:t>
      </w:r>
      <w:r w:rsidR="00FA3519" w:rsidRPr="00CA6939">
        <w:rPr>
          <w:lang w:val="en-US"/>
        </w:rPr>
        <w:fldChar w:fldCharType="end"/>
      </w:r>
      <w:r w:rsidR="00FA3519" w:rsidRPr="00CA6939">
        <w:rPr>
          <w:lang w:val="en-US"/>
        </w:rPr>
        <w:t>. It is defined as illustrated in the equation (1):</w:t>
      </w:r>
    </w:p>
    <w:p w:rsidR="00FA3519" w:rsidRPr="00CA6939" w:rsidRDefault="00FA3519" w:rsidP="00FA3519">
      <w:pPr>
        <w:pStyle w:val="Els-equation"/>
        <w:tabs>
          <w:tab w:val="clear" w:pos="9120"/>
          <w:tab w:val="right" w:pos="8505"/>
        </w:tabs>
        <w:ind w:left="0"/>
        <w:jc w:val="center"/>
        <w:rPr>
          <w:noProof w:val="0"/>
        </w:rPr>
      </w:pPr>
      <w:r w:rsidRPr="00CA6939">
        <w:rPr>
          <w:noProof w:val="0"/>
          <w:position w:val="-10"/>
        </w:rPr>
        <w:object w:dxaOrig="50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25pt;height:15.75pt" o:ole="">
            <v:imagedata r:id="rId8" o:title=""/>
          </v:shape>
          <o:OLEObject Type="Embed" ProgID="Equation.3" ShapeID="_x0000_i1025" DrawAspect="Content" ObjectID="_1546938750" r:id="rId9"/>
        </w:object>
      </w:r>
      <w:r w:rsidRPr="00CA6939">
        <w:rPr>
          <w:noProof w:val="0"/>
        </w:rPr>
        <w:t xml:space="preserve">                        </w:t>
      </w:r>
      <w:r w:rsidRPr="00CA6939">
        <w:rPr>
          <w:rFonts w:ascii="Cambria" w:hAnsi="Cambria"/>
          <w:noProof w:val="0"/>
        </w:rPr>
        <w:t>(1)</w:t>
      </w:r>
    </w:p>
    <w:p w:rsidR="00FA3519" w:rsidRDefault="00FA3519" w:rsidP="00FA3519">
      <w:pPr>
        <w:rPr>
          <w:lang w:val="en-US"/>
        </w:rPr>
      </w:pPr>
      <w:r w:rsidRPr="00CA6939">
        <w:rPr>
          <w:lang w:val="en-US"/>
        </w:rPr>
        <w:t xml:space="preserve">where the dependent variable </w:t>
      </w:r>
      <w:r w:rsidRPr="00CA6939">
        <w:rPr>
          <w:i/>
          <w:lang w:val="en-US"/>
        </w:rPr>
        <w:t>corruption_index</w:t>
      </w:r>
      <w:r w:rsidR="00336387">
        <w:rPr>
          <w:lang w:val="en-US"/>
        </w:rPr>
        <w:t xml:space="preserve"> is represented by the CP</w:t>
      </w:r>
      <w:r w:rsidRPr="00CA6939">
        <w:rPr>
          <w:lang w:val="en-US"/>
        </w:rPr>
        <w:t xml:space="preserve">I </w:t>
      </w:r>
      <w:r w:rsidR="00336387">
        <w:rPr>
          <w:lang w:val="en-US"/>
        </w:rPr>
        <w:t>or CC</w:t>
      </w:r>
      <w:r w:rsidRPr="00CA6939">
        <w:rPr>
          <w:lang w:val="en-US"/>
        </w:rPr>
        <w:t xml:space="preserve">I in both years and the independent variable </w:t>
      </w:r>
      <w:r w:rsidRPr="00CA6939">
        <w:rPr>
          <w:i/>
          <w:lang w:val="en-US"/>
        </w:rPr>
        <w:t>open_data_index</w:t>
      </w:r>
      <w:r w:rsidRPr="00CA6939">
        <w:rPr>
          <w:lang w:val="en-US"/>
        </w:rPr>
        <w:t xml:space="preserve"> is represented by the ODBI</w:t>
      </w:r>
      <w:r w:rsidR="00336387">
        <w:rPr>
          <w:lang w:val="en-US"/>
        </w:rPr>
        <w:t xml:space="preserve"> or GODI</w:t>
      </w:r>
      <w:r w:rsidRPr="00CA6939">
        <w:rPr>
          <w:lang w:val="en-US"/>
        </w:rPr>
        <w:t xml:space="preserve">. The parameter </w:t>
      </w:r>
      <w:r w:rsidRPr="00CA6939">
        <w:rPr>
          <w:i/>
          <w:lang w:val="en-US"/>
        </w:rPr>
        <w:t>α</w:t>
      </w:r>
      <w:r w:rsidRPr="00CA6939">
        <w:rPr>
          <w:lang w:val="en-US"/>
        </w:rPr>
        <w:t xml:space="preserve"> determines the distance of intersection of the regression line with the y-axis (the value of the regression function for x = 0). The parameter </w:t>
      </w:r>
      <w:r w:rsidRPr="00CA6939">
        <w:rPr>
          <w:i/>
          <w:lang w:val="en-US"/>
        </w:rPr>
        <w:t>β</w:t>
      </w:r>
      <w:r w:rsidRPr="00CA6939">
        <w:rPr>
          <w:lang w:val="en-US"/>
        </w:rPr>
        <w:t xml:space="preserve"> is called the regression coefficient and shows the variation of the dependent variable value when the value of the independent variable changes. The symbol </w:t>
      </w:r>
      <w:r w:rsidRPr="00CA6939">
        <w:rPr>
          <w:i/>
          <w:lang w:val="en-US"/>
        </w:rPr>
        <w:t>ε</w:t>
      </w:r>
      <w:r w:rsidRPr="00CA6939">
        <w:rPr>
          <w:lang w:val="en-US"/>
        </w:rPr>
        <w:t xml:space="preserve"> is the residual variance, which is a graphical representation of the distance of points from the regression line </w:t>
      </w:r>
      <w:r w:rsidRPr="00CA6939">
        <w:rPr>
          <w:lang w:val="en-US"/>
        </w:rPr>
        <w:fldChar w:fldCharType="begin"/>
      </w:r>
      <w:r w:rsidRPr="00CA6939">
        <w:rPr>
          <w:lang w:val="en-US"/>
        </w:rPr>
        <w:instrText xml:space="preserve"> REF _Ref458850668 \r \h </w:instrText>
      </w:r>
      <w:r w:rsidRPr="00CA6939">
        <w:rPr>
          <w:lang w:val="en-US"/>
        </w:rPr>
      </w:r>
      <w:r w:rsidRPr="00CA6939">
        <w:rPr>
          <w:lang w:val="en-US"/>
        </w:rPr>
        <w:fldChar w:fldCharType="separate"/>
      </w:r>
      <w:r w:rsidR="00503208">
        <w:rPr>
          <w:lang w:val="en-US"/>
        </w:rPr>
        <w:t>[3]</w:t>
      </w:r>
      <w:r w:rsidRPr="00CA6939">
        <w:rPr>
          <w:lang w:val="en-US"/>
        </w:rPr>
        <w:fldChar w:fldCharType="end"/>
      </w:r>
      <w:r w:rsidRPr="00CA6939">
        <w:rPr>
          <w:lang w:val="en-US"/>
        </w:rPr>
        <w:t xml:space="preserve">, </w:t>
      </w:r>
      <w:r w:rsidRPr="00CA6939">
        <w:rPr>
          <w:lang w:val="en-US"/>
        </w:rPr>
        <w:fldChar w:fldCharType="begin"/>
      </w:r>
      <w:r w:rsidRPr="00CA6939">
        <w:rPr>
          <w:lang w:val="en-US"/>
        </w:rPr>
        <w:instrText xml:space="preserve"> REF _Ref459283970 \r \h </w:instrText>
      </w:r>
      <w:r w:rsidRPr="00CA6939">
        <w:rPr>
          <w:lang w:val="en-US"/>
        </w:rPr>
      </w:r>
      <w:r w:rsidRPr="00CA6939">
        <w:rPr>
          <w:lang w:val="en-US"/>
        </w:rPr>
        <w:fldChar w:fldCharType="separate"/>
      </w:r>
      <w:r w:rsidR="00503208">
        <w:rPr>
          <w:lang w:val="en-US"/>
        </w:rPr>
        <w:t>[9]</w:t>
      </w:r>
      <w:r w:rsidRPr="00CA6939">
        <w:rPr>
          <w:lang w:val="en-US"/>
        </w:rPr>
        <w:fldChar w:fldCharType="end"/>
      </w:r>
      <w:r w:rsidRPr="00CA6939">
        <w:rPr>
          <w:lang w:val="en-US"/>
        </w:rPr>
        <w:t>.</w:t>
      </w:r>
    </w:p>
    <w:p w:rsidR="00606CDB" w:rsidRPr="00CA6939" w:rsidRDefault="00B63A03" w:rsidP="00887677">
      <w:pPr>
        <w:rPr>
          <w:lang w:val="en-US"/>
        </w:rPr>
      </w:pPr>
      <w:r w:rsidRPr="00CA6939">
        <w:rPr>
          <w:lang w:val="en-US"/>
        </w:rPr>
        <w:t xml:space="preserve">The analysis </w:t>
      </w:r>
      <w:r w:rsidR="00FA3519">
        <w:rPr>
          <w:lang w:val="en-US"/>
        </w:rPr>
        <w:t>is</w:t>
      </w:r>
      <w:r w:rsidRPr="00CA6939">
        <w:rPr>
          <w:lang w:val="en-US"/>
        </w:rPr>
        <w:t xml:space="preserve"> performed on the sample of </w:t>
      </w:r>
      <w:r w:rsidR="0093337D" w:rsidRPr="00CA6939">
        <w:rPr>
          <w:lang w:val="en-US"/>
        </w:rPr>
        <w:t>92</w:t>
      </w:r>
      <w:r w:rsidRPr="00CA6939">
        <w:rPr>
          <w:lang w:val="en-US"/>
        </w:rPr>
        <w:t xml:space="preserve"> countries</w:t>
      </w:r>
      <w:r w:rsidR="00C31D06" w:rsidRPr="00CA6939">
        <w:rPr>
          <w:lang w:val="en-US"/>
        </w:rPr>
        <w:t>, regardless of their geographic location or political regime,</w:t>
      </w:r>
      <w:r w:rsidRPr="00CA6939">
        <w:rPr>
          <w:lang w:val="en-US"/>
        </w:rPr>
        <w:t xml:space="preserve"> in order to determine if open data have improved </w:t>
      </w:r>
      <w:r w:rsidR="00887677" w:rsidRPr="00CA6939">
        <w:rPr>
          <w:lang w:val="en-US"/>
        </w:rPr>
        <w:t>the level of</w:t>
      </w:r>
      <w:r w:rsidRPr="00CA6939">
        <w:rPr>
          <w:lang w:val="en-US"/>
        </w:rPr>
        <w:t xml:space="preserve"> corruption. </w:t>
      </w:r>
      <w:r w:rsidR="00DA1981" w:rsidRPr="00CA6939">
        <w:rPr>
          <w:lang w:val="en-US"/>
        </w:rPr>
        <w:t>A</w:t>
      </w:r>
      <w:r w:rsidRPr="00CA6939">
        <w:rPr>
          <w:lang w:val="en-US"/>
        </w:rPr>
        <w:t xml:space="preserve">fter the establishment of </w:t>
      </w:r>
      <w:r w:rsidR="00182765" w:rsidRPr="00CA6939">
        <w:rPr>
          <w:lang w:val="en-US"/>
        </w:rPr>
        <w:t xml:space="preserve">regression </w:t>
      </w:r>
      <w:r w:rsidRPr="00CA6939">
        <w:rPr>
          <w:lang w:val="en-US"/>
        </w:rPr>
        <w:t xml:space="preserve">models for </w:t>
      </w:r>
      <w:r w:rsidR="00DA1981" w:rsidRPr="00CA6939">
        <w:rPr>
          <w:lang w:val="en-US"/>
        </w:rPr>
        <w:t>the selected years</w:t>
      </w:r>
      <w:r w:rsidRPr="00CA6939">
        <w:rPr>
          <w:lang w:val="en-US"/>
        </w:rPr>
        <w:t>, a relationship between the change in</w:t>
      </w:r>
      <w:r w:rsidR="00DA1981" w:rsidRPr="00CA6939">
        <w:rPr>
          <w:lang w:val="en-US"/>
        </w:rPr>
        <w:t xml:space="preserve"> open data and </w:t>
      </w:r>
      <w:r w:rsidRPr="00CA6939">
        <w:rPr>
          <w:lang w:val="en-US"/>
        </w:rPr>
        <w:t>corruption in this period</w:t>
      </w:r>
      <w:r w:rsidR="00DA1981" w:rsidRPr="00CA6939">
        <w:rPr>
          <w:lang w:val="en-US"/>
        </w:rPr>
        <w:t xml:space="preserve"> will be explored</w:t>
      </w:r>
      <w:r w:rsidRPr="00CA6939">
        <w:rPr>
          <w:lang w:val="en-US"/>
        </w:rPr>
        <w:t>.</w:t>
      </w:r>
      <w:r w:rsidR="001E1BD0" w:rsidRPr="00CA6939">
        <w:rPr>
          <w:lang w:val="en-US"/>
        </w:rPr>
        <w:t xml:space="preserve"> Data collection was made through open sources. All calculations and graphics are done in </w:t>
      </w:r>
      <w:r w:rsidR="00154F28" w:rsidRPr="00CA6939">
        <w:rPr>
          <w:lang w:val="en-US"/>
        </w:rPr>
        <w:t>S</w:t>
      </w:r>
      <w:r w:rsidR="0093337D" w:rsidRPr="00CA6939">
        <w:rPr>
          <w:lang w:val="en-US"/>
        </w:rPr>
        <w:t>tatistica 10</w:t>
      </w:r>
      <w:r w:rsidR="001E1BD0" w:rsidRPr="00CA6939">
        <w:rPr>
          <w:lang w:val="en-US"/>
        </w:rPr>
        <w:t>.</w:t>
      </w:r>
    </w:p>
    <w:p w:rsidR="000505F9" w:rsidRPr="00CA6939" w:rsidRDefault="000505F9" w:rsidP="00C84ACD">
      <w:pPr>
        <w:pStyle w:val="Nadpis2"/>
      </w:pPr>
      <w:r w:rsidRPr="00CA6939">
        <w:t>Results and Discussion</w:t>
      </w:r>
    </w:p>
    <w:p w:rsidR="00A039BA" w:rsidRPr="00CA6939" w:rsidRDefault="00DA49A2" w:rsidP="0029571E">
      <w:pPr>
        <w:rPr>
          <w:lang w:val="en-US"/>
        </w:rPr>
      </w:pPr>
      <w:r w:rsidRPr="00CA6939">
        <w:rPr>
          <w:lang w:val="en-US"/>
        </w:rPr>
        <w:t xml:space="preserve">At first, </w:t>
      </w:r>
      <w:r w:rsidR="000E28F2" w:rsidRPr="00CA6939">
        <w:rPr>
          <w:lang w:val="en-US"/>
        </w:rPr>
        <w:t>relevant statistical indicators for model variables are presented in Table 1.</w:t>
      </w:r>
      <w:r w:rsidR="001131EC" w:rsidRPr="00CA6939">
        <w:rPr>
          <w:lang w:val="en-US"/>
        </w:rPr>
        <w:t xml:space="preserve"> </w:t>
      </w:r>
      <w:r w:rsidR="00D72955" w:rsidRPr="00CA6939">
        <w:rPr>
          <w:lang w:val="en-US"/>
        </w:rPr>
        <w:t xml:space="preserve">In the case of mean value, there can be seen an increase between 2013 and 2015, only the GODI has decreased because of the changes in the methodology. </w:t>
      </w:r>
      <w:r w:rsidR="001131EC" w:rsidRPr="00CA6939">
        <w:rPr>
          <w:lang w:val="en-US"/>
        </w:rPr>
        <w:t>The higher mean compared to the median shows that the distribution of values for all these indices is skewed to the left</w:t>
      </w:r>
      <w:r w:rsidR="001E4C36" w:rsidRPr="00CA6939">
        <w:rPr>
          <w:lang w:val="en-US"/>
        </w:rPr>
        <w:t>, i.e., there are</w:t>
      </w:r>
      <w:r w:rsidR="00D72955" w:rsidRPr="00CA6939">
        <w:rPr>
          <w:lang w:val="en-US"/>
        </w:rPr>
        <w:t xml:space="preserve"> more countries with lower values than higher ones</w:t>
      </w:r>
      <w:r w:rsidR="001131EC" w:rsidRPr="00CA6939">
        <w:rPr>
          <w:lang w:val="en-US"/>
        </w:rPr>
        <w:t>.</w:t>
      </w:r>
    </w:p>
    <w:p w:rsidR="000E28F2" w:rsidRPr="00CA6939" w:rsidRDefault="000E28F2" w:rsidP="0029571E">
      <w:pPr>
        <w:rPr>
          <w:lang w:val="en-US"/>
        </w:rPr>
      </w:pPr>
    </w:p>
    <w:p w:rsidR="000E28F2" w:rsidRPr="00CA6939" w:rsidRDefault="000E28F2" w:rsidP="000E28F2">
      <w:pPr>
        <w:pStyle w:val="Els-caption"/>
        <w:spacing w:before="120" w:after="120"/>
        <w:jc w:val="center"/>
        <w:rPr>
          <w:rFonts w:ascii="Cambria" w:hAnsi="Cambria"/>
          <w:b/>
          <w:sz w:val="18"/>
        </w:rPr>
      </w:pPr>
      <w:r w:rsidRPr="00CA6939">
        <w:rPr>
          <w:rFonts w:ascii="Cambria" w:hAnsi="Cambria"/>
          <w:b/>
          <w:sz w:val="18"/>
        </w:rPr>
        <w:t>Table 1. Descriptive statistics (Source: Author)</w:t>
      </w:r>
    </w:p>
    <w:tbl>
      <w:tblPr>
        <w:tblW w:w="8931" w:type="dxa"/>
        <w:jc w:val="center"/>
        <w:tblLook w:val="01E0" w:firstRow="1" w:lastRow="1" w:firstColumn="1" w:lastColumn="1" w:noHBand="0" w:noVBand="0"/>
      </w:tblPr>
      <w:tblGrid>
        <w:gridCol w:w="1219"/>
        <w:gridCol w:w="964"/>
        <w:gridCol w:w="964"/>
        <w:gridCol w:w="964"/>
        <w:gridCol w:w="964"/>
        <w:gridCol w:w="964"/>
        <w:gridCol w:w="964"/>
        <w:gridCol w:w="964"/>
        <w:gridCol w:w="964"/>
      </w:tblGrid>
      <w:tr w:rsidR="000E28F2" w:rsidRPr="00CA6939" w:rsidTr="000E28F2">
        <w:trPr>
          <w:trHeight w:val="132"/>
          <w:jc w:val="center"/>
        </w:trPr>
        <w:tc>
          <w:tcPr>
            <w:tcW w:w="1219" w:type="dxa"/>
            <w:tcBorders>
              <w:top w:val="single" w:sz="4" w:space="0" w:color="auto"/>
              <w:bottom w:val="single" w:sz="4" w:space="0" w:color="auto"/>
            </w:tcBorders>
            <w:shd w:val="clear" w:color="auto" w:fill="D9D9D9"/>
          </w:tcPr>
          <w:p w:rsidR="000E28F2" w:rsidRPr="00CA6939" w:rsidRDefault="000E28F2" w:rsidP="00374A97">
            <w:pPr>
              <w:pStyle w:val="Els-table-text"/>
              <w:spacing w:before="60" w:after="60" w:line="240" w:lineRule="auto"/>
              <w:ind w:left="-57" w:right="-57"/>
              <w:rPr>
                <w:rFonts w:ascii="Cambria" w:hAnsi="Cambria"/>
                <w:b/>
                <w:sz w:val="18"/>
              </w:rPr>
            </w:pPr>
          </w:p>
        </w:tc>
        <w:tc>
          <w:tcPr>
            <w:tcW w:w="964" w:type="dxa"/>
            <w:tcBorders>
              <w:top w:val="single" w:sz="4" w:space="0" w:color="auto"/>
              <w:bottom w:val="single" w:sz="4" w:space="0" w:color="auto"/>
            </w:tcBorders>
            <w:shd w:val="clear" w:color="auto" w:fill="D9D9D9"/>
          </w:tcPr>
          <w:p w:rsidR="000E28F2" w:rsidRPr="00CA6939" w:rsidRDefault="000E28F2" w:rsidP="00374A97">
            <w:pPr>
              <w:pStyle w:val="Els-table-text"/>
              <w:spacing w:before="60" w:after="60" w:line="240" w:lineRule="auto"/>
              <w:ind w:left="-57" w:right="-57"/>
              <w:rPr>
                <w:rFonts w:ascii="Cambria" w:hAnsi="Cambria"/>
                <w:b/>
                <w:sz w:val="18"/>
              </w:rPr>
            </w:pPr>
            <w:r w:rsidRPr="00CA6939">
              <w:rPr>
                <w:rFonts w:ascii="Cambria" w:hAnsi="Cambria"/>
                <w:b/>
                <w:sz w:val="18"/>
              </w:rPr>
              <w:t xml:space="preserve">GODI </w:t>
            </w:r>
            <w:r w:rsidRPr="00CA6939">
              <w:rPr>
                <w:rFonts w:ascii="Cambria" w:hAnsi="Cambria"/>
                <w:b/>
              </w:rPr>
              <w:t>2013</w:t>
            </w:r>
          </w:p>
        </w:tc>
        <w:tc>
          <w:tcPr>
            <w:tcW w:w="964" w:type="dxa"/>
            <w:tcBorders>
              <w:top w:val="single" w:sz="4" w:space="0" w:color="auto"/>
              <w:bottom w:val="single" w:sz="4" w:space="0" w:color="auto"/>
            </w:tcBorders>
            <w:shd w:val="clear" w:color="auto" w:fill="D9D9D9"/>
          </w:tcPr>
          <w:p w:rsidR="000E28F2" w:rsidRPr="00CA6939" w:rsidRDefault="000E28F2" w:rsidP="00374A97">
            <w:pPr>
              <w:pStyle w:val="Els-table-text"/>
              <w:spacing w:before="60" w:after="60" w:line="240" w:lineRule="auto"/>
              <w:ind w:left="-57" w:right="-57"/>
              <w:rPr>
                <w:rFonts w:ascii="Cambria" w:hAnsi="Cambria"/>
                <w:b/>
                <w:sz w:val="18"/>
              </w:rPr>
            </w:pPr>
            <w:r w:rsidRPr="00CA6939">
              <w:rPr>
                <w:rFonts w:ascii="Cambria" w:hAnsi="Cambria"/>
                <w:b/>
                <w:sz w:val="18"/>
              </w:rPr>
              <w:t xml:space="preserve">GODI </w:t>
            </w:r>
            <w:r w:rsidRPr="00CA6939">
              <w:rPr>
                <w:rFonts w:ascii="Cambria" w:hAnsi="Cambria"/>
                <w:b/>
              </w:rPr>
              <w:t>2015</w:t>
            </w:r>
          </w:p>
        </w:tc>
        <w:tc>
          <w:tcPr>
            <w:tcW w:w="964" w:type="dxa"/>
            <w:tcBorders>
              <w:top w:val="single" w:sz="4" w:space="0" w:color="auto"/>
              <w:bottom w:val="single" w:sz="4" w:space="0" w:color="auto"/>
            </w:tcBorders>
            <w:shd w:val="clear" w:color="auto" w:fill="D9D9D9"/>
          </w:tcPr>
          <w:p w:rsidR="000E28F2" w:rsidRPr="00CA6939" w:rsidRDefault="000E28F2" w:rsidP="00374A97">
            <w:pPr>
              <w:pStyle w:val="Els-table-text"/>
              <w:spacing w:before="60" w:after="60" w:line="240" w:lineRule="auto"/>
              <w:ind w:left="-57" w:right="-57"/>
              <w:rPr>
                <w:rFonts w:ascii="Cambria" w:hAnsi="Cambria"/>
                <w:b/>
                <w:sz w:val="18"/>
              </w:rPr>
            </w:pPr>
            <w:r w:rsidRPr="00CA6939">
              <w:rPr>
                <w:rFonts w:ascii="Cambria" w:hAnsi="Cambria"/>
                <w:b/>
                <w:sz w:val="18"/>
              </w:rPr>
              <w:t xml:space="preserve">ODBI </w:t>
            </w:r>
            <w:r w:rsidRPr="00CA6939">
              <w:rPr>
                <w:rFonts w:ascii="Cambria" w:hAnsi="Cambria"/>
                <w:b/>
              </w:rPr>
              <w:t>2013</w:t>
            </w:r>
          </w:p>
        </w:tc>
        <w:tc>
          <w:tcPr>
            <w:tcW w:w="964" w:type="dxa"/>
            <w:tcBorders>
              <w:top w:val="single" w:sz="4" w:space="0" w:color="auto"/>
              <w:bottom w:val="single" w:sz="4" w:space="0" w:color="auto"/>
            </w:tcBorders>
            <w:shd w:val="clear" w:color="auto" w:fill="D9D9D9"/>
          </w:tcPr>
          <w:p w:rsidR="000E28F2" w:rsidRPr="00CA6939" w:rsidRDefault="000E28F2" w:rsidP="00374A97">
            <w:pPr>
              <w:pStyle w:val="Els-table-text"/>
              <w:spacing w:before="60" w:after="60" w:line="240" w:lineRule="auto"/>
              <w:ind w:left="-57" w:right="-57"/>
              <w:rPr>
                <w:rFonts w:ascii="Cambria" w:hAnsi="Cambria"/>
                <w:b/>
                <w:sz w:val="18"/>
              </w:rPr>
            </w:pPr>
            <w:r w:rsidRPr="00CA6939">
              <w:rPr>
                <w:rFonts w:ascii="Cambria" w:hAnsi="Cambria"/>
                <w:b/>
                <w:sz w:val="18"/>
              </w:rPr>
              <w:t xml:space="preserve">ODBI </w:t>
            </w:r>
            <w:r w:rsidRPr="00CA6939">
              <w:rPr>
                <w:rFonts w:ascii="Cambria" w:hAnsi="Cambria"/>
                <w:b/>
              </w:rPr>
              <w:t>2015</w:t>
            </w:r>
          </w:p>
        </w:tc>
        <w:tc>
          <w:tcPr>
            <w:tcW w:w="964" w:type="dxa"/>
            <w:tcBorders>
              <w:top w:val="single" w:sz="4" w:space="0" w:color="auto"/>
              <w:bottom w:val="single" w:sz="4" w:space="0" w:color="auto"/>
            </w:tcBorders>
            <w:shd w:val="clear" w:color="auto" w:fill="D9D9D9"/>
          </w:tcPr>
          <w:p w:rsidR="000E28F2" w:rsidRPr="00CA6939" w:rsidRDefault="000E28F2" w:rsidP="00374A97">
            <w:pPr>
              <w:pStyle w:val="Els-table-text"/>
              <w:spacing w:before="60" w:after="60" w:line="240" w:lineRule="auto"/>
              <w:ind w:left="-57" w:right="-57"/>
              <w:rPr>
                <w:rFonts w:ascii="Cambria" w:hAnsi="Cambria"/>
                <w:b/>
                <w:sz w:val="18"/>
              </w:rPr>
            </w:pPr>
            <w:r w:rsidRPr="00CA6939">
              <w:rPr>
                <w:rFonts w:ascii="Cambria" w:hAnsi="Cambria"/>
                <w:b/>
                <w:sz w:val="18"/>
              </w:rPr>
              <w:t xml:space="preserve">CPI </w:t>
            </w:r>
            <w:r w:rsidRPr="00CA6939">
              <w:rPr>
                <w:rFonts w:ascii="Cambria" w:hAnsi="Cambria"/>
                <w:b/>
              </w:rPr>
              <w:t>2013</w:t>
            </w:r>
          </w:p>
        </w:tc>
        <w:tc>
          <w:tcPr>
            <w:tcW w:w="964" w:type="dxa"/>
            <w:tcBorders>
              <w:top w:val="single" w:sz="4" w:space="0" w:color="auto"/>
              <w:bottom w:val="single" w:sz="4" w:space="0" w:color="auto"/>
            </w:tcBorders>
            <w:shd w:val="clear" w:color="auto" w:fill="D9D9D9"/>
          </w:tcPr>
          <w:p w:rsidR="000E28F2" w:rsidRPr="00CA6939" w:rsidRDefault="000E28F2" w:rsidP="00374A97">
            <w:pPr>
              <w:pStyle w:val="Els-table-text"/>
              <w:spacing w:before="60" w:after="60" w:line="240" w:lineRule="auto"/>
              <w:ind w:left="-57" w:right="-57"/>
              <w:rPr>
                <w:rFonts w:ascii="Cambria" w:hAnsi="Cambria"/>
                <w:b/>
                <w:sz w:val="18"/>
              </w:rPr>
            </w:pPr>
            <w:r w:rsidRPr="00CA6939">
              <w:rPr>
                <w:rFonts w:ascii="Cambria" w:hAnsi="Cambria"/>
                <w:b/>
                <w:sz w:val="18"/>
              </w:rPr>
              <w:t xml:space="preserve">CPI </w:t>
            </w:r>
            <w:r w:rsidRPr="00CA6939">
              <w:rPr>
                <w:rFonts w:ascii="Cambria" w:hAnsi="Cambria"/>
                <w:b/>
              </w:rPr>
              <w:t>2015</w:t>
            </w:r>
          </w:p>
        </w:tc>
        <w:tc>
          <w:tcPr>
            <w:tcW w:w="964" w:type="dxa"/>
            <w:tcBorders>
              <w:top w:val="single" w:sz="4" w:space="0" w:color="auto"/>
              <w:bottom w:val="single" w:sz="4" w:space="0" w:color="auto"/>
            </w:tcBorders>
            <w:shd w:val="clear" w:color="auto" w:fill="D9D9D9"/>
          </w:tcPr>
          <w:p w:rsidR="000E28F2" w:rsidRPr="00CA6939" w:rsidRDefault="000E28F2" w:rsidP="00374A97">
            <w:pPr>
              <w:pStyle w:val="Els-table-text"/>
              <w:spacing w:before="60" w:after="60" w:line="240" w:lineRule="auto"/>
              <w:ind w:left="-57" w:right="-57"/>
              <w:rPr>
                <w:rFonts w:ascii="Cambria" w:hAnsi="Cambria"/>
                <w:b/>
                <w:sz w:val="18"/>
              </w:rPr>
            </w:pPr>
            <w:r w:rsidRPr="00CA6939">
              <w:rPr>
                <w:rFonts w:ascii="Cambria" w:hAnsi="Cambria"/>
                <w:b/>
                <w:sz w:val="18"/>
              </w:rPr>
              <w:t xml:space="preserve">CCI </w:t>
            </w:r>
            <w:r w:rsidRPr="00CA6939">
              <w:rPr>
                <w:rFonts w:ascii="Cambria" w:hAnsi="Cambria"/>
                <w:b/>
              </w:rPr>
              <w:t>2013</w:t>
            </w:r>
          </w:p>
        </w:tc>
        <w:tc>
          <w:tcPr>
            <w:tcW w:w="964" w:type="dxa"/>
            <w:tcBorders>
              <w:top w:val="single" w:sz="4" w:space="0" w:color="auto"/>
              <w:bottom w:val="single" w:sz="4" w:space="0" w:color="auto"/>
            </w:tcBorders>
            <w:shd w:val="clear" w:color="auto" w:fill="D9D9D9"/>
          </w:tcPr>
          <w:p w:rsidR="000E28F2" w:rsidRPr="00CA6939" w:rsidRDefault="000E28F2" w:rsidP="00374A97">
            <w:pPr>
              <w:pStyle w:val="Els-table-text"/>
              <w:spacing w:before="60" w:after="60" w:line="240" w:lineRule="auto"/>
              <w:ind w:left="-57" w:right="-57"/>
              <w:rPr>
                <w:rFonts w:ascii="Cambria" w:hAnsi="Cambria"/>
                <w:b/>
                <w:sz w:val="18"/>
              </w:rPr>
            </w:pPr>
            <w:r w:rsidRPr="00CA6939">
              <w:rPr>
                <w:rFonts w:ascii="Cambria" w:hAnsi="Cambria"/>
                <w:b/>
                <w:sz w:val="18"/>
              </w:rPr>
              <w:t xml:space="preserve">CCI </w:t>
            </w:r>
            <w:r w:rsidRPr="00CA6939">
              <w:rPr>
                <w:rFonts w:ascii="Cambria" w:hAnsi="Cambria"/>
                <w:b/>
              </w:rPr>
              <w:t>2015</w:t>
            </w:r>
          </w:p>
        </w:tc>
      </w:tr>
      <w:tr w:rsidR="000E28F2" w:rsidRPr="00CA6939" w:rsidTr="006704BB">
        <w:trPr>
          <w:trHeight w:val="126"/>
          <w:jc w:val="center"/>
        </w:trPr>
        <w:tc>
          <w:tcPr>
            <w:tcW w:w="1219" w:type="dxa"/>
            <w:tcBorders>
              <w:top w:val="single" w:sz="4" w:space="0" w:color="auto"/>
            </w:tcBorders>
          </w:tcPr>
          <w:p w:rsidR="000E28F2" w:rsidRPr="00CA6939" w:rsidRDefault="000E28F2" w:rsidP="00374A97">
            <w:pPr>
              <w:pStyle w:val="Els-table-text"/>
              <w:spacing w:before="60" w:after="60" w:line="240" w:lineRule="auto"/>
              <w:ind w:left="-57" w:right="-57"/>
              <w:rPr>
                <w:rFonts w:ascii="Cambria" w:hAnsi="Cambria"/>
                <w:sz w:val="18"/>
              </w:rPr>
            </w:pPr>
            <w:r w:rsidRPr="00CA6939">
              <w:rPr>
                <w:rFonts w:ascii="Cambria" w:hAnsi="Cambria"/>
                <w:sz w:val="18"/>
              </w:rPr>
              <w:t>Mean</w:t>
            </w:r>
          </w:p>
        </w:tc>
        <w:tc>
          <w:tcPr>
            <w:tcW w:w="964" w:type="dxa"/>
            <w:tcBorders>
              <w:top w:val="single" w:sz="4" w:space="0" w:color="auto"/>
            </w:tcBorders>
            <w:vAlign w:val="center"/>
          </w:tcPr>
          <w:p w:rsidR="000E28F2" w:rsidRPr="00CA6939" w:rsidRDefault="006704BB" w:rsidP="00374A97">
            <w:pPr>
              <w:spacing w:before="60" w:after="60"/>
              <w:ind w:firstLine="0"/>
              <w:jc w:val="left"/>
              <w:rPr>
                <w:sz w:val="18"/>
                <w:szCs w:val="18"/>
                <w:lang w:val="en-US"/>
              </w:rPr>
            </w:pPr>
            <w:r w:rsidRPr="00CA6939">
              <w:rPr>
                <w:sz w:val="18"/>
                <w:szCs w:val="18"/>
                <w:lang w:val="en-US"/>
              </w:rPr>
              <w:t>47.</w:t>
            </w:r>
            <w:r w:rsidR="000E28F2" w:rsidRPr="00CA6939">
              <w:rPr>
                <w:sz w:val="18"/>
                <w:szCs w:val="18"/>
                <w:lang w:val="en-US"/>
              </w:rPr>
              <w:t>8</w:t>
            </w:r>
            <w:r w:rsidRPr="00CA6939">
              <w:rPr>
                <w:sz w:val="18"/>
                <w:szCs w:val="18"/>
                <w:lang w:val="en-US"/>
              </w:rPr>
              <w:t>5</w:t>
            </w:r>
          </w:p>
        </w:tc>
        <w:tc>
          <w:tcPr>
            <w:tcW w:w="964" w:type="dxa"/>
            <w:tcBorders>
              <w:top w:val="single" w:sz="4" w:space="0" w:color="auto"/>
            </w:tcBorders>
            <w:vAlign w:val="center"/>
          </w:tcPr>
          <w:p w:rsidR="000E28F2" w:rsidRPr="00CA6939" w:rsidRDefault="006704BB" w:rsidP="00374A97">
            <w:pPr>
              <w:spacing w:before="60" w:after="60"/>
              <w:ind w:firstLine="0"/>
              <w:jc w:val="left"/>
              <w:rPr>
                <w:sz w:val="18"/>
                <w:szCs w:val="18"/>
                <w:lang w:val="en-US"/>
              </w:rPr>
            </w:pPr>
            <w:r w:rsidRPr="00CA6939">
              <w:rPr>
                <w:sz w:val="18"/>
                <w:szCs w:val="18"/>
                <w:lang w:val="en-US"/>
              </w:rPr>
              <w:t>39.76</w:t>
            </w:r>
          </w:p>
        </w:tc>
        <w:tc>
          <w:tcPr>
            <w:tcW w:w="964" w:type="dxa"/>
            <w:tcBorders>
              <w:top w:val="single" w:sz="4" w:space="0" w:color="auto"/>
            </w:tcBorders>
            <w:vAlign w:val="center"/>
          </w:tcPr>
          <w:p w:rsidR="000E28F2" w:rsidRPr="00CA6939" w:rsidRDefault="006704BB" w:rsidP="00374A97">
            <w:pPr>
              <w:spacing w:before="60" w:after="60"/>
              <w:ind w:firstLine="0"/>
              <w:jc w:val="left"/>
              <w:rPr>
                <w:sz w:val="18"/>
                <w:szCs w:val="18"/>
                <w:lang w:val="en-US"/>
              </w:rPr>
            </w:pPr>
            <w:r w:rsidRPr="00CA6939">
              <w:rPr>
                <w:sz w:val="18"/>
                <w:szCs w:val="18"/>
                <w:lang w:val="en-US"/>
              </w:rPr>
              <w:t>32.47</w:t>
            </w:r>
          </w:p>
        </w:tc>
        <w:tc>
          <w:tcPr>
            <w:tcW w:w="964" w:type="dxa"/>
            <w:tcBorders>
              <w:top w:val="single" w:sz="4" w:space="0" w:color="auto"/>
            </w:tcBorders>
            <w:vAlign w:val="center"/>
          </w:tcPr>
          <w:p w:rsidR="000E28F2" w:rsidRPr="00CA6939" w:rsidRDefault="006704BB" w:rsidP="00374A97">
            <w:pPr>
              <w:spacing w:before="60" w:after="60"/>
              <w:ind w:firstLine="0"/>
              <w:jc w:val="left"/>
              <w:rPr>
                <w:sz w:val="18"/>
                <w:szCs w:val="18"/>
                <w:lang w:val="en-US"/>
              </w:rPr>
            </w:pPr>
            <w:r w:rsidRPr="00CA6939">
              <w:rPr>
                <w:sz w:val="18"/>
                <w:szCs w:val="18"/>
                <w:lang w:val="en-US"/>
              </w:rPr>
              <w:t>34.09</w:t>
            </w:r>
          </w:p>
        </w:tc>
        <w:tc>
          <w:tcPr>
            <w:tcW w:w="964" w:type="dxa"/>
            <w:tcBorders>
              <w:top w:val="single" w:sz="4" w:space="0" w:color="auto"/>
            </w:tcBorders>
            <w:vAlign w:val="center"/>
          </w:tcPr>
          <w:p w:rsidR="000E28F2" w:rsidRPr="00CA6939" w:rsidRDefault="006704BB" w:rsidP="00374A97">
            <w:pPr>
              <w:spacing w:before="60" w:after="60"/>
              <w:ind w:firstLine="0"/>
              <w:jc w:val="left"/>
              <w:rPr>
                <w:sz w:val="18"/>
                <w:szCs w:val="18"/>
                <w:lang w:val="en-US"/>
              </w:rPr>
            </w:pPr>
            <w:r w:rsidRPr="00CA6939">
              <w:rPr>
                <w:sz w:val="18"/>
                <w:szCs w:val="18"/>
                <w:lang w:val="en-US"/>
              </w:rPr>
              <w:t>50.26</w:t>
            </w:r>
          </w:p>
        </w:tc>
        <w:tc>
          <w:tcPr>
            <w:tcW w:w="964" w:type="dxa"/>
            <w:tcBorders>
              <w:top w:val="single" w:sz="4" w:space="0" w:color="auto"/>
            </w:tcBorders>
            <w:vAlign w:val="center"/>
          </w:tcPr>
          <w:p w:rsidR="000E28F2" w:rsidRPr="00CA6939" w:rsidRDefault="006704BB" w:rsidP="00374A97">
            <w:pPr>
              <w:spacing w:before="60" w:after="60"/>
              <w:ind w:firstLine="0"/>
              <w:jc w:val="left"/>
              <w:rPr>
                <w:sz w:val="18"/>
                <w:szCs w:val="18"/>
                <w:lang w:val="en-US"/>
              </w:rPr>
            </w:pPr>
            <w:r w:rsidRPr="00CA6939">
              <w:rPr>
                <w:sz w:val="18"/>
                <w:szCs w:val="18"/>
                <w:lang w:val="en-US"/>
              </w:rPr>
              <w:t>50.89</w:t>
            </w:r>
          </w:p>
        </w:tc>
        <w:tc>
          <w:tcPr>
            <w:tcW w:w="964" w:type="dxa"/>
            <w:tcBorders>
              <w:top w:val="single" w:sz="4" w:space="0" w:color="auto"/>
            </w:tcBorders>
            <w:vAlign w:val="center"/>
          </w:tcPr>
          <w:p w:rsidR="000E28F2" w:rsidRPr="00CA6939" w:rsidRDefault="006704BB" w:rsidP="00374A97">
            <w:pPr>
              <w:spacing w:before="60" w:after="60"/>
              <w:ind w:firstLine="0"/>
              <w:jc w:val="left"/>
              <w:rPr>
                <w:sz w:val="18"/>
                <w:szCs w:val="18"/>
                <w:lang w:val="en-US"/>
              </w:rPr>
            </w:pPr>
            <w:r w:rsidRPr="00CA6939">
              <w:rPr>
                <w:sz w:val="18"/>
                <w:szCs w:val="18"/>
                <w:lang w:val="en-US"/>
              </w:rPr>
              <w:t>0.28</w:t>
            </w:r>
          </w:p>
        </w:tc>
        <w:tc>
          <w:tcPr>
            <w:tcW w:w="964" w:type="dxa"/>
            <w:tcBorders>
              <w:top w:val="single" w:sz="4" w:space="0" w:color="auto"/>
            </w:tcBorders>
            <w:vAlign w:val="center"/>
          </w:tcPr>
          <w:p w:rsidR="000E28F2" w:rsidRPr="00CA6939" w:rsidRDefault="006704BB" w:rsidP="00374A97">
            <w:pPr>
              <w:spacing w:before="60" w:after="60"/>
              <w:ind w:firstLine="0"/>
              <w:jc w:val="left"/>
              <w:rPr>
                <w:sz w:val="18"/>
                <w:szCs w:val="18"/>
                <w:lang w:val="en-US"/>
              </w:rPr>
            </w:pPr>
            <w:r w:rsidRPr="00CA6939">
              <w:rPr>
                <w:sz w:val="18"/>
                <w:szCs w:val="18"/>
                <w:lang w:val="en-US"/>
              </w:rPr>
              <w:t>0.28</w:t>
            </w:r>
          </w:p>
        </w:tc>
      </w:tr>
      <w:tr w:rsidR="006704BB" w:rsidRPr="00CA6939" w:rsidTr="006704BB">
        <w:trPr>
          <w:trHeight w:val="126"/>
          <w:jc w:val="center"/>
        </w:trPr>
        <w:tc>
          <w:tcPr>
            <w:tcW w:w="1219" w:type="dxa"/>
          </w:tcPr>
          <w:p w:rsidR="006704BB" w:rsidRPr="00CA6939" w:rsidRDefault="006704BB" w:rsidP="00374A97">
            <w:pPr>
              <w:pStyle w:val="Els-table-text"/>
              <w:spacing w:before="60" w:after="60" w:line="240" w:lineRule="auto"/>
              <w:ind w:left="-57" w:right="-57"/>
              <w:rPr>
                <w:rFonts w:ascii="Cambria" w:hAnsi="Cambria"/>
                <w:sz w:val="18"/>
              </w:rPr>
            </w:pPr>
            <w:r w:rsidRPr="00CA6939">
              <w:rPr>
                <w:rFonts w:ascii="Cambria" w:hAnsi="Cambria"/>
                <w:sz w:val="18"/>
              </w:rPr>
              <w:t>Median</w:t>
            </w:r>
          </w:p>
        </w:tc>
        <w:tc>
          <w:tcPr>
            <w:tcW w:w="964" w:type="dxa"/>
            <w:vAlign w:val="center"/>
          </w:tcPr>
          <w:p w:rsidR="006704BB" w:rsidRPr="00CA6939" w:rsidRDefault="006704BB" w:rsidP="00374A97">
            <w:pPr>
              <w:spacing w:before="60" w:after="60"/>
              <w:ind w:firstLine="0"/>
              <w:jc w:val="left"/>
              <w:rPr>
                <w:sz w:val="18"/>
                <w:lang w:val="en-US"/>
              </w:rPr>
            </w:pPr>
            <w:r w:rsidRPr="00CA6939">
              <w:rPr>
                <w:sz w:val="18"/>
                <w:lang w:val="en-US"/>
              </w:rPr>
              <w:t>43</w:t>
            </w:r>
            <w:r w:rsidR="001131EC" w:rsidRPr="00CA6939">
              <w:rPr>
                <w:sz w:val="18"/>
                <w:lang w:val="en-US"/>
              </w:rPr>
              <w:t>.</w:t>
            </w:r>
            <w:r w:rsidRPr="00CA6939">
              <w:rPr>
                <w:sz w:val="18"/>
                <w:lang w:val="en-US"/>
              </w:rPr>
              <w:t>00</w:t>
            </w:r>
          </w:p>
        </w:tc>
        <w:tc>
          <w:tcPr>
            <w:tcW w:w="964" w:type="dxa"/>
            <w:vAlign w:val="center"/>
          </w:tcPr>
          <w:p w:rsidR="006704BB" w:rsidRPr="00CA6939" w:rsidRDefault="006704BB" w:rsidP="00374A97">
            <w:pPr>
              <w:spacing w:before="60" w:after="60"/>
              <w:ind w:firstLine="0"/>
              <w:jc w:val="left"/>
              <w:rPr>
                <w:sz w:val="18"/>
                <w:lang w:val="en-US"/>
              </w:rPr>
            </w:pPr>
            <w:r w:rsidRPr="00CA6939">
              <w:rPr>
                <w:sz w:val="18"/>
                <w:lang w:val="en-US"/>
              </w:rPr>
              <w:t>37</w:t>
            </w:r>
            <w:r w:rsidR="001131EC" w:rsidRPr="00CA6939">
              <w:rPr>
                <w:sz w:val="18"/>
                <w:lang w:val="en-US"/>
              </w:rPr>
              <w:t>.</w:t>
            </w:r>
            <w:r w:rsidRPr="00CA6939">
              <w:rPr>
                <w:sz w:val="18"/>
                <w:lang w:val="en-US"/>
              </w:rPr>
              <w:t>50</w:t>
            </w:r>
          </w:p>
        </w:tc>
        <w:tc>
          <w:tcPr>
            <w:tcW w:w="964" w:type="dxa"/>
            <w:vAlign w:val="center"/>
          </w:tcPr>
          <w:p w:rsidR="006704BB" w:rsidRPr="00CA6939" w:rsidRDefault="006704BB" w:rsidP="00374A97">
            <w:pPr>
              <w:spacing w:before="60" w:after="60"/>
              <w:ind w:firstLine="0"/>
              <w:jc w:val="left"/>
              <w:rPr>
                <w:sz w:val="18"/>
                <w:lang w:val="en-US"/>
              </w:rPr>
            </w:pPr>
            <w:r w:rsidRPr="00CA6939">
              <w:rPr>
                <w:sz w:val="18"/>
                <w:lang w:val="en-US"/>
              </w:rPr>
              <w:t>27</w:t>
            </w:r>
            <w:r w:rsidR="001131EC" w:rsidRPr="00CA6939">
              <w:rPr>
                <w:sz w:val="18"/>
                <w:lang w:val="en-US"/>
              </w:rPr>
              <w:t>.</w:t>
            </w:r>
            <w:r w:rsidRPr="00CA6939">
              <w:rPr>
                <w:sz w:val="18"/>
                <w:lang w:val="en-US"/>
              </w:rPr>
              <w:t>58</w:t>
            </w:r>
          </w:p>
        </w:tc>
        <w:tc>
          <w:tcPr>
            <w:tcW w:w="964" w:type="dxa"/>
            <w:vAlign w:val="center"/>
          </w:tcPr>
          <w:p w:rsidR="006704BB" w:rsidRPr="00CA6939" w:rsidRDefault="006704BB" w:rsidP="00374A97">
            <w:pPr>
              <w:spacing w:before="60" w:after="60"/>
              <w:ind w:firstLine="0"/>
              <w:jc w:val="left"/>
              <w:rPr>
                <w:sz w:val="18"/>
                <w:lang w:val="en-US"/>
              </w:rPr>
            </w:pPr>
            <w:r w:rsidRPr="00CA6939">
              <w:rPr>
                <w:sz w:val="18"/>
                <w:lang w:val="en-US"/>
              </w:rPr>
              <w:t>28</w:t>
            </w:r>
            <w:r w:rsidR="001131EC" w:rsidRPr="00CA6939">
              <w:rPr>
                <w:sz w:val="18"/>
                <w:lang w:val="en-US"/>
              </w:rPr>
              <w:t>.</w:t>
            </w:r>
            <w:r w:rsidRPr="00CA6939">
              <w:rPr>
                <w:sz w:val="18"/>
                <w:lang w:val="en-US"/>
              </w:rPr>
              <w:t>73</w:t>
            </w:r>
          </w:p>
        </w:tc>
        <w:tc>
          <w:tcPr>
            <w:tcW w:w="964" w:type="dxa"/>
            <w:vAlign w:val="center"/>
          </w:tcPr>
          <w:p w:rsidR="006704BB" w:rsidRPr="00CA6939" w:rsidRDefault="006704BB" w:rsidP="00374A97">
            <w:pPr>
              <w:spacing w:before="60" w:after="60"/>
              <w:ind w:firstLine="0"/>
              <w:jc w:val="left"/>
              <w:rPr>
                <w:sz w:val="18"/>
                <w:lang w:val="en-US"/>
              </w:rPr>
            </w:pPr>
            <w:r w:rsidRPr="00CA6939">
              <w:rPr>
                <w:sz w:val="18"/>
                <w:lang w:val="en-US"/>
              </w:rPr>
              <w:t>45</w:t>
            </w:r>
            <w:r w:rsidR="001131EC" w:rsidRPr="00CA6939">
              <w:rPr>
                <w:sz w:val="18"/>
                <w:lang w:val="en-US"/>
              </w:rPr>
              <w:t>.</w:t>
            </w:r>
            <w:r w:rsidRPr="00CA6939">
              <w:rPr>
                <w:sz w:val="18"/>
                <w:lang w:val="en-US"/>
              </w:rPr>
              <w:t>50</w:t>
            </w:r>
          </w:p>
        </w:tc>
        <w:tc>
          <w:tcPr>
            <w:tcW w:w="964" w:type="dxa"/>
            <w:vAlign w:val="center"/>
          </w:tcPr>
          <w:p w:rsidR="006704BB" w:rsidRPr="00CA6939" w:rsidRDefault="006704BB" w:rsidP="00374A97">
            <w:pPr>
              <w:spacing w:before="60" w:after="60"/>
              <w:ind w:firstLine="0"/>
              <w:jc w:val="left"/>
              <w:rPr>
                <w:sz w:val="18"/>
                <w:lang w:val="en-US"/>
              </w:rPr>
            </w:pPr>
            <w:r w:rsidRPr="00CA6939">
              <w:rPr>
                <w:sz w:val="18"/>
                <w:lang w:val="en-US"/>
              </w:rPr>
              <w:t>46</w:t>
            </w:r>
            <w:r w:rsidR="001131EC" w:rsidRPr="00CA6939">
              <w:rPr>
                <w:sz w:val="18"/>
                <w:lang w:val="en-US"/>
              </w:rPr>
              <w:t>.</w:t>
            </w:r>
            <w:r w:rsidRPr="00CA6939">
              <w:rPr>
                <w:sz w:val="18"/>
                <w:lang w:val="en-US"/>
              </w:rPr>
              <w:t>00</w:t>
            </w:r>
          </w:p>
        </w:tc>
        <w:tc>
          <w:tcPr>
            <w:tcW w:w="964" w:type="dxa"/>
            <w:vAlign w:val="center"/>
          </w:tcPr>
          <w:p w:rsidR="006704BB" w:rsidRPr="00CA6939" w:rsidRDefault="006704BB" w:rsidP="00374A97">
            <w:pPr>
              <w:spacing w:before="60" w:after="60"/>
              <w:ind w:firstLine="0"/>
              <w:jc w:val="left"/>
              <w:rPr>
                <w:sz w:val="18"/>
                <w:lang w:val="en-US"/>
              </w:rPr>
            </w:pPr>
            <w:r w:rsidRPr="00CA6939">
              <w:rPr>
                <w:sz w:val="18"/>
                <w:lang w:val="en-US"/>
              </w:rPr>
              <w:t>0</w:t>
            </w:r>
            <w:r w:rsidR="001131EC" w:rsidRPr="00CA6939">
              <w:rPr>
                <w:sz w:val="18"/>
                <w:lang w:val="en-US"/>
              </w:rPr>
              <w:t>.</w:t>
            </w:r>
            <w:r w:rsidRPr="00CA6939">
              <w:rPr>
                <w:sz w:val="18"/>
                <w:lang w:val="en-US"/>
              </w:rPr>
              <w:t>02</w:t>
            </w:r>
          </w:p>
        </w:tc>
        <w:tc>
          <w:tcPr>
            <w:tcW w:w="964" w:type="dxa"/>
            <w:vAlign w:val="center"/>
          </w:tcPr>
          <w:p w:rsidR="006704BB" w:rsidRPr="00CA6939" w:rsidRDefault="006704BB" w:rsidP="00374A97">
            <w:pPr>
              <w:spacing w:before="60" w:after="60"/>
              <w:ind w:firstLine="0"/>
              <w:jc w:val="left"/>
              <w:rPr>
                <w:sz w:val="18"/>
                <w:lang w:val="en-US"/>
              </w:rPr>
            </w:pPr>
            <w:r w:rsidRPr="00CA6939">
              <w:rPr>
                <w:sz w:val="18"/>
                <w:lang w:val="en-US"/>
              </w:rPr>
              <w:t>0</w:t>
            </w:r>
            <w:r w:rsidR="001131EC" w:rsidRPr="00CA6939">
              <w:rPr>
                <w:sz w:val="18"/>
                <w:lang w:val="en-US"/>
              </w:rPr>
              <w:t>.</w:t>
            </w:r>
            <w:r w:rsidRPr="00CA6939">
              <w:rPr>
                <w:sz w:val="18"/>
                <w:lang w:val="en-US"/>
              </w:rPr>
              <w:t>09</w:t>
            </w:r>
          </w:p>
        </w:tc>
      </w:tr>
      <w:tr w:rsidR="006704BB" w:rsidRPr="00CA6939" w:rsidTr="006704BB">
        <w:trPr>
          <w:trHeight w:val="126"/>
          <w:jc w:val="center"/>
        </w:trPr>
        <w:tc>
          <w:tcPr>
            <w:tcW w:w="1219" w:type="dxa"/>
          </w:tcPr>
          <w:p w:rsidR="006704BB" w:rsidRPr="00CA6939" w:rsidRDefault="006704BB" w:rsidP="00374A97">
            <w:pPr>
              <w:pStyle w:val="Els-table-text"/>
              <w:spacing w:before="60" w:after="60" w:line="240" w:lineRule="auto"/>
              <w:ind w:left="-57" w:right="-57"/>
              <w:rPr>
                <w:rFonts w:ascii="Cambria" w:hAnsi="Cambria"/>
                <w:sz w:val="18"/>
              </w:rPr>
            </w:pPr>
            <w:r w:rsidRPr="00CA6939">
              <w:rPr>
                <w:rFonts w:ascii="Cambria" w:hAnsi="Cambria"/>
                <w:sz w:val="18"/>
              </w:rPr>
              <w:t>Std. deviation</w:t>
            </w:r>
          </w:p>
        </w:tc>
        <w:tc>
          <w:tcPr>
            <w:tcW w:w="964" w:type="dxa"/>
            <w:vAlign w:val="center"/>
          </w:tcPr>
          <w:p w:rsidR="006704BB" w:rsidRPr="00CA6939" w:rsidRDefault="006704BB" w:rsidP="00374A97">
            <w:pPr>
              <w:spacing w:before="60" w:after="60"/>
              <w:ind w:firstLine="0"/>
              <w:jc w:val="left"/>
              <w:rPr>
                <w:sz w:val="18"/>
                <w:lang w:val="en-US"/>
              </w:rPr>
            </w:pPr>
            <w:r w:rsidRPr="00CA6939">
              <w:rPr>
                <w:sz w:val="18"/>
                <w:lang w:val="en-US"/>
              </w:rPr>
              <w:t>16.80</w:t>
            </w:r>
          </w:p>
        </w:tc>
        <w:tc>
          <w:tcPr>
            <w:tcW w:w="964" w:type="dxa"/>
            <w:vAlign w:val="center"/>
          </w:tcPr>
          <w:p w:rsidR="006704BB" w:rsidRPr="00CA6939" w:rsidRDefault="006704BB" w:rsidP="00374A97">
            <w:pPr>
              <w:spacing w:before="60" w:after="60"/>
              <w:ind w:firstLine="0"/>
              <w:jc w:val="left"/>
              <w:rPr>
                <w:sz w:val="18"/>
                <w:lang w:val="en-US"/>
              </w:rPr>
            </w:pPr>
            <w:r w:rsidRPr="00CA6939">
              <w:rPr>
                <w:sz w:val="18"/>
                <w:lang w:val="en-US"/>
              </w:rPr>
              <w:t>17.21</w:t>
            </w:r>
          </w:p>
        </w:tc>
        <w:tc>
          <w:tcPr>
            <w:tcW w:w="964" w:type="dxa"/>
            <w:vAlign w:val="center"/>
          </w:tcPr>
          <w:p w:rsidR="006704BB" w:rsidRPr="00CA6939" w:rsidRDefault="006704BB" w:rsidP="00374A97">
            <w:pPr>
              <w:spacing w:before="60" w:after="60"/>
              <w:ind w:firstLine="0"/>
              <w:jc w:val="left"/>
              <w:rPr>
                <w:sz w:val="18"/>
                <w:lang w:val="en-US"/>
              </w:rPr>
            </w:pPr>
            <w:r w:rsidRPr="00CA6939">
              <w:rPr>
                <w:sz w:val="18"/>
                <w:lang w:val="en-US"/>
              </w:rPr>
              <w:t>22.67</w:t>
            </w:r>
          </w:p>
        </w:tc>
        <w:tc>
          <w:tcPr>
            <w:tcW w:w="964" w:type="dxa"/>
            <w:vAlign w:val="center"/>
          </w:tcPr>
          <w:p w:rsidR="006704BB" w:rsidRPr="00CA6939" w:rsidRDefault="006704BB" w:rsidP="00374A97">
            <w:pPr>
              <w:spacing w:before="60" w:after="60"/>
              <w:ind w:firstLine="0"/>
              <w:jc w:val="left"/>
              <w:rPr>
                <w:sz w:val="18"/>
                <w:lang w:val="en-US"/>
              </w:rPr>
            </w:pPr>
            <w:r w:rsidRPr="00CA6939">
              <w:rPr>
                <w:sz w:val="18"/>
                <w:lang w:val="en-US"/>
              </w:rPr>
              <w:t>24.12</w:t>
            </w:r>
          </w:p>
        </w:tc>
        <w:tc>
          <w:tcPr>
            <w:tcW w:w="964" w:type="dxa"/>
            <w:vAlign w:val="center"/>
          </w:tcPr>
          <w:p w:rsidR="006704BB" w:rsidRPr="00CA6939" w:rsidRDefault="006704BB" w:rsidP="00374A97">
            <w:pPr>
              <w:spacing w:before="60" w:after="60"/>
              <w:ind w:firstLine="0"/>
              <w:jc w:val="left"/>
              <w:rPr>
                <w:sz w:val="18"/>
                <w:lang w:val="en-US"/>
              </w:rPr>
            </w:pPr>
            <w:r w:rsidRPr="00CA6939">
              <w:rPr>
                <w:sz w:val="18"/>
                <w:lang w:val="en-US"/>
              </w:rPr>
              <w:t>20.28</w:t>
            </w:r>
          </w:p>
        </w:tc>
        <w:tc>
          <w:tcPr>
            <w:tcW w:w="964" w:type="dxa"/>
            <w:vAlign w:val="center"/>
          </w:tcPr>
          <w:p w:rsidR="006704BB" w:rsidRPr="00CA6939" w:rsidRDefault="006704BB" w:rsidP="00374A97">
            <w:pPr>
              <w:spacing w:before="60" w:after="60"/>
              <w:ind w:firstLine="0"/>
              <w:jc w:val="left"/>
              <w:rPr>
                <w:sz w:val="18"/>
                <w:lang w:val="en-US"/>
              </w:rPr>
            </w:pPr>
            <w:r w:rsidRPr="00CA6939">
              <w:rPr>
                <w:sz w:val="18"/>
                <w:lang w:val="en-US"/>
              </w:rPr>
              <w:t>20.70</w:t>
            </w:r>
          </w:p>
        </w:tc>
        <w:tc>
          <w:tcPr>
            <w:tcW w:w="964" w:type="dxa"/>
            <w:vAlign w:val="center"/>
          </w:tcPr>
          <w:p w:rsidR="006704BB" w:rsidRPr="00CA6939" w:rsidRDefault="006704BB" w:rsidP="00374A97">
            <w:pPr>
              <w:spacing w:before="60" w:after="60"/>
              <w:ind w:firstLine="0"/>
              <w:jc w:val="left"/>
              <w:rPr>
                <w:sz w:val="18"/>
                <w:lang w:val="en-US"/>
              </w:rPr>
            </w:pPr>
            <w:r w:rsidRPr="00CA6939">
              <w:rPr>
                <w:sz w:val="18"/>
                <w:lang w:val="en-US"/>
              </w:rPr>
              <w:t>1.08</w:t>
            </w:r>
          </w:p>
        </w:tc>
        <w:tc>
          <w:tcPr>
            <w:tcW w:w="964" w:type="dxa"/>
            <w:vAlign w:val="center"/>
          </w:tcPr>
          <w:p w:rsidR="006704BB" w:rsidRPr="00CA6939" w:rsidRDefault="006704BB" w:rsidP="00374A97">
            <w:pPr>
              <w:spacing w:before="60" w:after="60"/>
              <w:ind w:firstLine="0"/>
              <w:jc w:val="left"/>
              <w:rPr>
                <w:sz w:val="18"/>
                <w:lang w:val="en-US"/>
              </w:rPr>
            </w:pPr>
            <w:r w:rsidRPr="00CA6939">
              <w:rPr>
                <w:sz w:val="18"/>
                <w:lang w:val="en-US"/>
              </w:rPr>
              <w:t>1.07</w:t>
            </w:r>
          </w:p>
        </w:tc>
      </w:tr>
      <w:tr w:rsidR="000E28F2" w:rsidRPr="00CA6939" w:rsidTr="000E28F2">
        <w:trPr>
          <w:trHeight w:val="126"/>
          <w:jc w:val="center"/>
        </w:trPr>
        <w:tc>
          <w:tcPr>
            <w:tcW w:w="1219" w:type="dxa"/>
          </w:tcPr>
          <w:p w:rsidR="000E28F2" w:rsidRPr="00CA6939" w:rsidRDefault="000E28F2" w:rsidP="00374A97">
            <w:pPr>
              <w:pStyle w:val="Els-table-text"/>
              <w:spacing w:before="60" w:after="60" w:line="240" w:lineRule="auto"/>
              <w:ind w:left="-57" w:right="-57"/>
              <w:rPr>
                <w:rFonts w:ascii="Cambria" w:hAnsi="Cambria"/>
                <w:sz w:val="18"/>
              </w:rPr>
            </w:pPr>
            <w:r w:rsidRPr="00CA6939">
              <w:rPr>
                <w:rFonts w:ascii="Cambria" w:hAnsi="Cambria"/>
                <w:sz w:val="18"/>
              </w:rPr>
              <w:t>Minimum</w:t>
            </w:r>
          </w:p>
        </w:tc>
        <w:tc>
          <w:tcPr>
            <w:tcW w:w="964" w:type="dxa"/>
            <w:vAlign w:val="center"/>
          </w:tcPr>
          <w:p w:rsidR="000E28F2" w:rsidRPr="00CA6939" w:rsidRDefault="006704BB" w:rsidP="00374A97">
            <w:pPr>
              <w:spacing w:before="60" w:after="60"/>
              <w:ind w:firstLine="0"/>
              <w:jc w:val="left"/>
              <w:rPr>
                <w:sz w:val="18"/>
                <w:szCs w:val="18"/>
                <w:lang w:val="en-US"/>
              </w:rPr>
            </w:pPr>
            <w:r w:rsidRPr="00CA6939">
              <w:rPr>
                <w:sz w:val="18"/>
                <w:szCs w:val="18"/>
                <w:lang w:val="en-US"/>
              </w:rPr>
              <w:t>20.00</w:t>
            </w:r>
          </w:p>
        </w:tc>
        <w:tc>
          <w:tcPr>
            <w:tcW w:w="964" w:type="dxa"/>
            <w:vAlign w:val="center"/>
          </w:tcPr>
          <w:p w:rsidR="000E28F2" w:rsidRPr="00CA6939" w:rsidRDefault="006704BB" w:rsidP="00374A97">
            <w:pPr>
              <w:spacing w:before="60" w:after="60"/>
              <w:ind w:firstLine="0"/>
              <w:jc w:val="left"/>
              <w:rPr>
                <w:sz w:val="18"/>
                <w:szCs w:val="18"/>
                <w:lang w:val="en-US"/>
              </w:rPr>
            </w:pPr>
            <w:r w:rsidRPr="00CA6939">
              <w:rPr>
                <w:sz w:val="18"/>
                <w:szCs w:val="18"/>
                <w:lang w:val="en-US"/>
              </w:rPr>
              <w:t>3.00</w:t>
            </w:r>
          </w:p>
        </w:tc>
        <w:tc>
          <w:tcPr>
            <w:tcW w:w="964" w:type="dxa"/>
            <w:vAlign w:val="center"/>
          </w:tcPr>
          <w:p w:rsidR="000E28F2" w:rsidRPr="00CA6939" w:rsidRDefault="006704BB" w:rsidP="00374A97">
            <w:pPr>
              <w:spacing w:before="60" w:after="60"/>
              <w:ind w:firstLine="0"/>
              <w:jc w:val="left"/>
              <w:rPr>
                <w:sz w:val="18"/>
                <w:szCs w:val="18"/>
                <w:lang w:val="en-US"/>
              </w:rPr>
            </w:pPr>
            <w:r w:rsidRPr="00CA6939">
              <w:rPr>
                <w:sz w:val="18"/>
                <w:szCs w:val="18"/>
                <w:lang w:val="en-US"/>
              </w:rPr>
              <w:t>0.00</w:t>
            </w:r>
          </w:p>
        </w:tc>
        <w:tc>
          <w:tcPr>
            <w:tcW w:w="964" w:type="dxa"/>
            <w:vAlign w:val="center"/>
          </w:tcPr>
          <w:p w:rsidR="000E28F2" w:rsidRPr="00CA6939" w:rsidRDefault="006704BB" w:rsidP="00374A97">
            <w:pPr>
              <w:spacing w:before="60" w:after="60"/>
              <w:ind w:firstLine="0"/>
              <w:jc w:val="left"/>
              <w:rPr>
                <w:sz w:val="18"/>
                <w:szCs w:val="18"/>
                <w:lang w:val="en-US"/>
              </w:rPr>
            </w:pPr>
            <w:r w:rsidRPr="00CA6939">
              <w:rPr>
                <w:sz w:val="18"/>
                <w:szCs w:val="18"/>
                <w:lang w:val="en-US"/>
              </w:rPr>
              <w:t>1.43</w:t>
            </w:r>
          </w:p>
        </w:tc>
        <w:tc>
          <w:tcPr>
            <w:tcW w:w="964" w:type="dxa"/>
            <w:vAlign w:val="center"/>
          </w:tcPr>
          <w:p w:rsidR="000E28F2" w:rsidRPr="00CA6939" w:rsidRDefault="006704BB" w:rsidP="00374A97">
            <w:pPr>
              <w:spacing w:before="60" w:after="60"/>
              <w:ind w:firstLine="0"/>
              <w:jc w:val="left"/>
              <w:rPr>
                <w:sz w:val="18"/>
                <w:szCs w:val="18"/>
                <w:lang w:val="en-US"/>
              </w:rPr>
            </w:pPr>
            <w:r w:rsidRPr="00CA6939">
              <w:rPr>
                <w:sz w:val="18"/>
                <w:szCs w:val="18"/>
                <w:lang w:val="en-US"/>
              </w:rPr>
              <w:t>18.00</w:t>
            </w:r>
          </w:p>
        </w:tc>
        <w:tc>
          <w:tcPr>
            <w:tcW w:w="964" w:type="dxa"/>
            <w:vAlign w:val="center"/>
          </w:tcPr>
          <w:p w:rsidR="000E28F2" w:rsidRPr="00CA6939" w:rsidRDefault="006704BB" w:rsidP="00374A97">
            <w:pPr>
              <w:spacing w:before="60" w:after="60"/>
              <w:ind w:firstLine="0"/>
              <w:jc w:val="left"/>
              <w:rPr>
                <w:sz w:val="18"/>
                <w:szCs w:val="18"/>
                <w:lang w:val="en-US"/>
              </w:rPr>
            </w:pPr>
            <w:r w:rsidRPr="00CA6939">
              <w:rPr>
                <w:sz w:val="18"/>
                <w:szCs w:val="18"/>
                <w:lang w:val="en-US"/>
              </w:rPr>
              <w:t>17.00</w:t>
            </w:r>
          </w:p>
        </w:tc>
        <w:tc>
          <w:tcPr>
            <w:tcW w:w="964" w:type="dxa"/>
            <w:vAlign w:val="center"/>
          </w:tcPr>
          <w:p w:rsidR="000E28F2" w:rsidRPr="00CA6939" w:rsidRDefault="006704BB" w:rsidP="00374A97">
            <w:pPr>
              <w:spacing w:before="60" w:after="60"/>
              <w:ind w:firstLine="0"/>
              <w:jc w:val="left"/>
              <w:rPr>
                <w:sz w:val="18"/>
                <w:szCs w:val="18"/>
                <w:lang w:val="en-US"/>
              </w:rPr>
            </w:pPr>
            <w:r w:rsidRPr="00CA6939">
              <w:rPr>
                <w:sz w:val="18"/>
                <w:szCs w:val="18"/>
                <w:lang w:val="en-US"/>
              </w:rPr>
              <w:t>-1.27</w:t>
            </w:r>
          </w:p>
        </w:tc>
        <w:tc>
          <w:tcPr>
            <w:tcW w:w="964" w:type="dxa"/>
            <w:vAlign w:val="center"/>
          </w:tcPr>
          <w:p w:rsidR="000E28F2" w:rsidRPr="00CA6939" w:rsidRDefault="006704BB" w:rsidP="00374A97">
            <w:pPr>
              <w:spacing w:before="60" w:after="60"/>
              <w:ind w:firstLine="0"/>
              <w:jc w:val="left"/>
              <w:rPr>
                <w:sz w:val="18"/>
                <w:szCs w:val="18"/>
                <w:lang w:val="en-US"/>
              </w:rPr>
            </w:pPr>
            <w:r w:rsidRPr="00CA6939">
              <w:rPr>
                <w:sz w:val="18"/>
                <w:szCs w:val="18"/>
                <w:lang w:val="en-US"/>
              </w:rPr>
              <w:t>-1.55</w:t>
            </w:r>
          </w:p>
        </w:tc>
      </w:tr>
      <w:tr w:rsidR="001131EC" w:rsidRPr="00CA6939" w:rsidTr="000E28F2">
        <w:trPr>
          <w:trHeight w:val="126"/>
          <w:jc w:val="center"/>
        </w:trPr>
        <w:tc>
          <w:tcPr>
            <w:tcW w:w="1219" w:type="dxa"/>
            <w:tcBorders>
              <w:bottom w:val="single" w:sz="4" w:space="0" w:color="auto"/>
            </w:tcBorders>
          </w:tcPr>
          <w:p w:rsidR="001131EC" w:rsidRPr="00CA6939" w:rsidRDefault="001131EC" w:rsidP="00374A97">
            <w:pPr>
              <w:pStyle w:val="Els-table-text"/>
              <w:spacing w:before="60" w:after="60" w:line="240" w:lineRule="auto"/>
              <w:ind w:left="-57" w:right="-57"/>
              <w:rPr>
                <w:rFonts w:ascii="Cambria" w:hAnsi="Cambria"/>
                <w:sz w:val="18"/>
              </w:rPr>
            </w:pPr>
            <w:r w:rsidRPr="00CA6939">
              <w:rPr>
                <w:rFonts w:ascii="Cambria" w:hAnsi="Cambria"/>
                <w:sz w:val="18"/>
              </w:rPr>
              <w:t>Maximum</w:t>
            </w:r>
          </w:p>
        </w:tc>
        <w:tc>
          <w:tcPr>
            <w:tcW w:w="964" w:type="dxa"/>
            <w:tcBorders>
              <w:bottom w:val="single" w:sz="4" w:space="0" w:color="auto"/>
            </w:tcBorders>
            <w:vAlign w:val="center"/>
          </w:tcPr>
          <w:p w:rsidR="001131EC" w:rsidRPr="00CA6939" w:rsidRDefault="001131EC" w:rsidP="00374A97">
            <w:pPr>
              <w:spacing w:before="60" w:after="60"/>
              <w:ind w:firstLine="0"/>
              <w:jc w:val="left"/>
              <w:rPr>
                <w:sz w:val="18"/>
                <w:szCs w:val="18"/>
                <w:lang w:val="en-US"/>
              </w:rPr>
            </w:pPr>
            <w:r w:rsidRPr="00CA6939">
              <w:rPr>
                <w:sz w:val="18"/>
                <w:szCs w:val="18"/>
                <w:lang w:val="en-US"/>
              </w:rPr>
              <w:t>94.00</w:t>
            </w:r>
          </w:p>
        </w:tc>
        <w:tc>
          <w:tcPr>
            <w:tcW w:w="964" w:type="dxa"/>
            <w:tcBorders>
              <w:bottom w:val="single" w:sz="4" w:space="0" w:color="auto"/>
            </w:tcBorders>
            <w:vAlign w:val="center"/>
          </w:tcPr>
          <w:p w:rsidR="001131EC" w:rsidRPr="00CA6939" w:rsidRDefault="001131EC" w:rsidP="00374A97">
            <w:pPr>
              <w:spacing w:before="60" w:after="60"/>
              <w:ind w:firstLine="0"/>
              <w:jc w:val="left"/>
              <w:rPr>
                <w:sz w:val="18"/>
                <w:szCs w:val="18"/>
                <w:lang w:val="en-US"/>
              </w:rPr>
            </w:pPr>
            <w:r w:rsidRPr="00CA6939">
              <w:rPr>
                <w:sz w:val="18"/>
                <w:szCs w:val="18"/>
                <w:lang w:val="en-US"/>
              </w:rPr>
              <w:t>78.00</w:t>
            </w:r>
          </w:p>
        </w:tc>
        <w:tc>
          <w:tcPr>
            <w:tcW w:w="964" w:type="dxa"/>
            <w:tcBorders>
              <w:bottom w:val="single" w:sz="4" w:space="0" w:color="auto"/>
            </w:tcBorders>
            <w:vAlign w:val="center"/>
          </w:tcPr>
          <w:p w:rsidR="001131EC" w:rsidRPr="00CA6939" w:rsidRDefault="001131EC" w:rsidP="00374A97">
            <w:pPr>
              <w:spacing w:before="60" w:after="60"/>
              <w:ind w:firstLine="0"/>
              <w:jc w:val="left"/>
              <w:rPr>
                <w:sz w:val="18"/>
                <w:szCs w:val="18"/>
                <w:lang w:val="en-US"/>
              </w:rPr>
            </w:pPr>
            <w:r w:rsidRPr="00CA6939">
              <w:rPr>
                <w:sz w:val="18"/>
                <w:szCs w:val="18"/>
                <w:lang w:val="en-US"/>
              </w:rPr>
              <w:t>100.00</w:t>
            </w:r>
          </w:p>
        </w:tc>
        <w:tc>
          <w:tcPr>
            <w:tcW w:w="964" w:type="dxa"/>
            <w:tcBorders>
              <w:bottom w:val="single" w:sz="4" w:space="0" w:color="auto"/>
            </w:tcBorders>
            <w:vAlign w:val="center"/>
          </w:tcPr>
          <w:p w:rsidR="001131EC" w:rsidRPr="00CA6939" w:rsidRDefault="001131EC" w:rsidP="00374A97">
            <w:pPr>
              <w:spacing w:before="60" w:after="60"/>
              <w:ind w:firstLine="0"/>
              <w:jc w:val="left"/>
              <w:rPr>
                <w:sz w:val="18"/>
                <w:szCs w:val="18"/>
                <w:lang w:val="en-US"/>
              </w:rPr>
            </w:pPr>
            <w:r w:rsidRPr="00CA6939">
              <w:rPr>
                <w:sz w:val="18"/>
                <w:szCs w:val="18"/>
                <w:lang w:val="en-US"/>
              </w:rPr>
              <w:t>100.00</w:t>
            </w:r>
          </w:p>
        </w:tc>
        <w:tc>
          <w:tcPr>
            <w:tcW w:w="964" w:type="dxa"/>
            <w:tcBorders>
              <w:bottom w:val="single" w:sz="4" w:space="0" w:color="auto"/>
            </w:tcBorders>
            <w:vAlign w:val="center"/>
          </w:tcPr>
          <w:p w:rsidR="001131EC" w:rsidRPr="00CA6939" w:rsidRDefault="001131EC" w:rsidP="00374A97">
            <w:pPr>
              <w:spacing w:before="60" w:after="60"/>
              <w:ind w:firstLine="0"/>
              <w:jc w:val="left"/>
              <w:rPr>
                <w:sz w:val="18"/>
                <w:szCs w:val="18"/>
                <w:lang w:val="en-US"/>
              </w:rPr>
            </w:pPr>
            <w:r w:rsidRPr="00CA6939">
              <w:rPr>
                <w:sz w:val="18"/>
                <w:szCs w:val="18"/>
                <w:lang w:val="en-US"/>
              </w:rPr>
              <w:t>91.00</w:t>
            </w:r>
          </w:p>
        </w:tc>
        <w:tc>
          <w:tcPr>
            <w:tcW w:w="964" w:type="dxa"/>
            <w:tcBorders>
              <w:bottom w:val="single" w:sz="4" w:space="0" w:color="auto"/>
            </w:tcBorders>
            <w:vAlign w:val="center"/>
          </w:tcPr>
          <w:p w:rsidR="001131EC" w:rsidRPr="00CA6939" w:rsidRDefault="001131EC" w:rsidP="00374A97">
            <w:pPr>
              <w:spacing w:before="60" w:after="60"/>
              <w:ind w:firstLine="0"/>
              <w:jc w:val="left"/>
              <w:rPr>
                <w:sz w:val="18"/>
                <w:szCs w:val="18"/>
                <w:lang w:val="en-US"/>
              </w:rPr>
            </w:pPr>
            <w:r w:rsidRPr="00CA6939">
              <w:rPr>
                <w:sz w:val="18"/>
                <w:szCs w:val="18"/>
                <w:lang w:val="en-US"/>
              </w:rPr>
              <w:t>91.00</w:t>
            </w:r>
          </w:p>
        </w:tc>
        <w:tc>
          <w:tcPr>
            <w:tcW w:w="964" w:type="dxa"/>
            <w:tcBorders>
              <w:bottom w:val="single" w:sz="4" w:space="0" w:color="auto"/>
            </w:tcBorders>
            <w:vAlign w:val="center"/>
          </w:tcPr>
          <w:p w:rsidR="001131EC" w:rsidRPr="00CA6939" w:rsidRDefault="001131EC" w:rsidP="00374A97">
            <w:pPr>
              <w:spacing w:before="60" w:after="60"/>
              <w:ind w:firstLine="0"/>
              <w:jc w:val="left"/>
              <w:rPr>
                <w:sz w:val="18"/>
                <w:szCs w:val="18"/>
                <w:lang w:val="en-US"/>
              </w:rPr>
            </w:pPr>
            <w:r w:rsidRPr="00CA6939">
              <w:rPr>
                <w:sz w:val="18"/>
                <w:szCs w:val="18"/>
                <w:lang w:val="en-US"/>
              </w:rPr>
              <w:t>2.39</w:t>
            </w:r>
          </w:p>
        </w:tc>
        <w:tc>
          <w:tcPr>
            <w:tcW w:w="964" w:type="dxa"/>
            <w:tcBorders>
              <w:bottom w:val="single" w:sz="4" w:space="0" w:color="auto"/>
            </w:tcBorders>
            <w:vAlign w:val="center"/>
          </w:tcPr>
          <w:p w:rsidR="001131EC" w:rsidRPr="00CA6939" w:rsidRDefault="001131EC" w:rsidP="00374A97">
            <w:pPr>
              <w:spacing w:before="60" w:after="60"/>
              <w:ind w:firstLine="0"/>
              <w:jc w:val="left"/>
              <w:rPr>
                <w:sz w:val="18"/>
                <w:szCs w:val="18"/>
                <w:lang w:val="en-US"/>
              </w:rPr>
            </w:pPr>
            <w:r w:rsidRPr="00CA6939">
              <w:rPr>
                <w:sz w:val="18"/>
                <w:szCs w:val="18"/>
                <w:lang w:val="en-US"/>
              </w:rPr>
              <w:t>2.27</w:t>
            </w:r>
          </w:p>
        </w:tc>
      </w:tr>
    </w:tbl>
    <w:p w:rsidR="000E28F2" w:rsidRPr="00CA6939" w:rsidRDefault="000E28F2" w:rsidP="0029571E">
      <w:pPr>
        <w:rPr>
          <w:lang w:val="en-US"/>
        </w:rPr>
      </w:pPr>
    </w:p>
    <w:p w:rsidR="0029571E" w:rsidRPr="00CA6939" w:rsidRDefault="00A039BA" w:rsidP="0029571E">
      <w:pPr>
        <w:rPr>
          <w:lang w:val="en-US"/>
        </w:rPr>
      </w:pPr>
      <w:r w:rsidRPr="00CA6939">
        <w:rPr>
          <w:lang w:val="en-US"/>
        </w:rPr>
        <w:lastRenderedPageBreak/>
        <w:t xml:space="preserve">Then, </w:t>
      </w:r>
      <w:r w:rsidR="00DA49A2" w:rsidRPr="00CA6939">
        <w:rPr>
          <w:lang w:val="en-US"/>
        </w:rPr>
        <w:t xml:space="preserve">the relationship between selected indices in two time periods (2013 and 2015) is examined. </w:t>
      </w:r>
      <w:r w:rsidR="0029571E" w:rsidRPr="00CA6939">
        <w:rPr>
          <w:lang w:val="en-US"/>
        </w:rPr>
        <w:t xml:space="preserve">Here the null hypothesis defines that the compared variables are not in correlative relationship. Verification of this hypothesis is based on the subsequent comparison of the level of significance with a p-value. </w:t>
      </w:r>
      <w:r w:rsidR="00C57C9E" w:rsidRPr="00CA6939">
        <w:rPr>
          <w:lang w:val="en-US"/>
        </w:rPr>
        <w:t>In Table 2</w:t>
      </w:r>
      <w:r w:rsidR="008D29A2" w:rsidRPr="00CA6939">
        <w:rPr>
          <w:lang w:val="en-US"/>
        </w:rPr>
        <w:t xml:space="preserve"> is shown </w:t>
      </w:r>
      <w:r w:rsidR="00905AE1" w:rsidRPr="00CA6939">
        <w:rPr>
          <w:lang w:val="en-US"/>
        </w:rPr>
        <w:t xml:space="preserve">a matrix of Pearson’s correlation coefficients </w:t>
      </w:r>
      <w:r w:rsidR="00DC0CF9" w:rsidRPr="00CA6939">
        <w:rPr>
          <w:lang w:val="en-US"/>
        </w:rPr>
        <w:t>on t</w:t>
      </w:r>
      <w:r w:rsidR="006A2126" w:rsidRPr="00CA6939">
        <w:rPr>
          <w:lang w:val="en-US"/>
        </w:rPr>
        <w:t>he significance level 0.05</w:t>
      </w:r>
      <w:r w:rsidR="0029571E" w:rsidRPr="00CA6939">
        <w:rPr>
          <w:lang w:val="en-US"/>
        </w:rPr>
        <w:t>, giving a value between +1 and −1, where 1 is total positive correlation, 0 is no correlation, and −1 is total negative correlation.</w:t>
      </w:r>
      <w:r w:rsidR="00DA49A2" w:rsidRPr="00CA6939">
        <w:rPr>
          <w:lang w:val="en-US"/>
        </w:rPr>
        <w:t xml:space="preserve"> </w:t>
      </w:r>
      <w:r w:rsidR="0029571E" w:rsidRPr="00CA6939">
        <w:rPr>
          <w:lang w:val="en-US"/>
        </w:rPr>
        <w:t>Thus, a</w:t>
      </w:r>
      <w:r w:rsidR="00DA49A2" w:rsidRPr="00CA6939">
        <w:rPr>
          <w:lang w:val="en-US"/>
        </w:rPr>
        <w:t xml:space="preserve"> positive correlation relationship was found among the variables in both years. </w:t>
      </w:r>
      <w:r w:rsidR="0029571E" w:rsidRPr="00CA6939">
        <w:rPr>
          <w:lang w:val="en-US"/>
        </w:rPr>
        <w:t xml:space="preserve">This led to the rejection of the null hypothesis. </w:t>
      </w:r>
      <w:r w:rsidR="004640BD" w:rsidRPr="00CA6939">
        <w:rPr>
          <w:lang w:val="en-US"/>
        </w:rPr>
        <w:t>It may be suggested that there is</w:t>
      </w:r>
      <w:r w:rsidR="00327EA9" w:rsidRPr="00CA6939">
        <w:rPr>
          <w:lang w:val="en-US"/>
        </w:rPr>
        <w:t xml:space="preserve"> a relationship between the level of corruption and the availability of open data </w:t>
      </w:r>
      <w:r w:rsidR="00730675">
        <w:rPr>
          <w:lang w:val="en-US"/>
        </w:rPr>
        <w:t xml:space="preserve">as represented by selected indices </w:t>
      </w:r>
      <w:r w:rsidR="00327EA9" w:rsidRPr="00CA6939">
        <w:rPr>
          <w:lang w:val="en-US"/>
        </w:rPr>
        <w:t xml:space="preserve">in the compared countries. The ODBI has </w:t>
      </w:r>
      <w:r w:rsidR="0029571E" w:rsidRPr="00CA6939">
        <w:rPr>
          <w:lang w:val="en-US"/>
        </w:rPr>
        <w:t xml:space="preserve">also </w:t>
      </w:r>
      <w:r w:rsidR="00327EA9" w:rsidRPr="00CA6939">
        <w:rPr>
          <w:lang w:val="en-US"/>
        </w:rPr>
        <w:t>stronger relationship with both CPI and CCI than GODI.</w:t>
      </w:r>
      <w:r w:rsidR="00905AE1" w:rsidRPr="00CA6939">
        <w:rPr>
          <w:lang w:val="en-US"/>
        </w:rPr>
        <w:t xml:space="preserve"> </w:t>
      </w:r>
      <w:r w:rsidR="00E51640">
        <w:rPr>
          <w:lang w:val="en-US"/>
        </w:rPr>
        <w:t>Thus, i</w:t>
      </w:r>
      <w:r w:rsidR="0029571E" w:rsidRPr="00CA6939">
        <w:rPr>
          <w:lang w:val="en-US"/>
        </w:rPr>
        <w:t>t furthermore suggests that the ODBI is a better predictor</w:t>
      </w:r>
      <w:r w:rsidR="00980527" w:rsidRPr="00CA6939">
        <w:rPr>
          <w:lang w:val="en-US"/>
        </w:rPr>
        <w:t xml:space="preserve"> of the level of corruption</w:t>
      </w:r>
      <w:r w:rsidR="0029571E" w:rsidRPr="00CA6939">
        <w:rPr>
          <w:lang w:val="en-US"/>
        </w:rPr>
        <w:t xml:space="preserve"> than the </w:t>
      </w:r>
      <w:r w:rsidR="00980527" w:rsidRPr="00CA6939">
        <w:rPr>
          <w:lang w:val="en-US"/>
        </w:rPr>
        <w:t>GODI.</w:t>
      </w:r>
    </w:p>
    <w:p w:rsidR="006A2126" w:rsidRPr="00CA6939" w:rsidRDefault="00905AE1" w:rsidP="0029571E">
      <w:pPr>
        <w:rPr>
          <w:lang w:val="en-US"/>
        </w:rPr>
      </w:pPr>
      <w:r w:rsidRPr="00CA6939">
        <w:rPr>
          <w:lang w:val="en-US"/>
        </w:rPr>
        <w:t>Ta</w:t>
      </w:r>
      <w:r w:rsidR="00C57C9E" w:rsidRPr="00CA6939">
        <w:rPr>
          <w:lang w:val="en-US"/>
        </w:rPr>
        <w:t>ble 3 and Table 4</w:t>
      </w:r>
      <w:r w:rsidRPr="00CA6939">
        <w:rPr>
          <w:lang w:val="en-US"/>
        </w:rPr>
        <w:t xml:space="preserve"> with Spearman rank order correlations and Kendall tau correlations then confirm these results. All the correlations in both tables are significant at the 0.05 level</w:t>
      </w:r>
      <w:r w:rsidR="00C57531" w:rsidRPr="00CA6939">
        <w:rPr>
          <w:lang w:val="en-US"/>
        </w:rPr>
        <w:t>. Indices focused on the level of corruption rank countries</w:t>
      </w:r>
      <w:r w:rsidR="00AE32C3" w:rsidRPr="00CA6939">
        <w:rPr>
          <w:lang w:val="en-US"/>
        </w:rPr>
        <w:t xml:space="preserve"> similar to each other </w:t>
      </w:r>
      <w:r w:rsidR="00BC1F75" w:rsidRPr="00CA6939">
        <w:rPr>
          <w:lang w:val="en-US"/>
        </w:rPr>
        <w:t xml:space="preserve">while indices focused on open data are </w:t>
      </w:r>
      <w:r w:rsidR="00AE32C3" w:rsidRPr="00CA6939">
        <w:rPr>
          <w:lang w:val="en-US"/>
        </w:rPr>
        <w:t>slightly</w:t>
      </w:r>
      <w:r w:rsidR="00BC1F75" w:rsidRPr="00CA6939">
        <w:rPr>
          <w:lang w:val="en-US"/>
        </w:rPr>
        <w:t xml:space="preserve"> different. It may be affected by the </w:t>
      </w:r>
      <w:r w:rsidR="00AE32C3" w:rsidRPr="00CA6939">
        <w:rPr>
          <w:lang w:val="en-US"/>
        </w:rPr>
        <w:t>first release</w:t>
      </w:r>
      <w:r w:rsidR="00BC1F75" w:rsidRPr="00CA6939">
        <w:rPr>
          <w:lang w:val="en-US"/>
        </w:rPr>
        <w:t xml:space="preserve"> of these indices, because they were both introduced in 2013 and only three rankings were published yet. Also, the methodology of these indices is </w:t>
      </w:r>
      <w:r w:rsidR="00AE32C3" w:rsidRPr="00CA6939">
        <w:rPr>
          <w:lang w:val="en-US"/>
        </w:rPr>
        <w:t xml:space="preserve">still </w:t>
      </w:r>
      <w:r w:rsidR="00BC1F75" w:rsidRPr="00CA6939">
        <w:rPr>
          <w:lang w:val="en-US"/>
        </w:rPr>
        <w:t>not</w:t>
      </w:r>
      <w:r w:rsidR="00C57531" w:rsidRPr="00CA6939">
        <w:rPr>
          <w:lang w:val="en-US"/>
        </w:rPr>
        <w:t xml:space="preserve"> </w:t>
      </w:r>
      <w:r w:rsidR="00AE32C3" w:rsidRPr="00CA6939">
        <w:rPr>
          <w:lang w:val="en-US"/>
        </w:rPr>
        <w:t>fixed in time and may change to cover more related attributes. For example, since 2015, four new thematic datasets were added to the GODI. Th</w:t>
      </w:r>
      <w:r w:rsidR="0029571E" w:rsidRPr="00CA6939">
        <w:rPr>
          <w:lang w:val="en-US"/>
        </w:rPr>
        <w:t>us</w:t>
      </w:r>
      <w:r w:rsidR="00AE32C3" w:rsidRPr="00CA6939">
        <w:rPr>
          <w:lang w:val="en-US"/>
        </w:rPr>
        <w:t>,</w:t>
      </w:r>
      <w:r w:rsidR="009D1FF5" w:rsidRPr="00CA6939">
        <w:rPr>
          <w:lang w:val="en-US"/>
        </w:rPr>
        <w:t xml:space="preserve"> rank order correlations between GODI 2013 and GODI 2015 are 0.767 and 0.593 while rank order correlations between ODBI 2013 and ODBI 2015 are 0.923 and</w:t>
      </w:r>
      <w:r w:rsidR="00391780" w:rsidRPr="00CA6939">
        <w:rPr>
          <w:lang w:val="en-US"/>
        </w:rPr>
        <w:t xml:space="preserve"> 0.764.</w:t>
      </w:r>
    </w:p>
    <w:p w:rsidR="006A2126" w:rsidRPr="00CA6939" w:rsidRDefault="006A2126" w:rsidP="005E7B5C">
      <w:pPr>
        <w:rPr>
          <w:lang w:val="en-US"/>
        </w:rPr>
      </w:pPr>
    </w:p>
    <w:p w:rsidR="00154F28" w:rsidRPr="00CA6939" w:rsidRDefault="00C57C9E" w:rsidP="00D72955">
      <w:pPr>
        <w:pStyle w:val="Els-caption"/>
        <w:keepNext/>
        <w:spacing w:before="120" w:after="120"/>
        <w:jc w:val="center"/>
        <w:rPr>
          <w:rFonts w:ascii="Cambria" w:hAnsi="Cambria"/>
          <w:b/>
          <w:sz w:val="18"/>
        </w:rPr>
      </w:pPr>
      <w:r w:rsidRPr="00CA6939">
        <w:rPr>
          <w:rFonts w:ascii="Cambria" w:hAnsi="Cambria"/>
          <w:b/>
          <w:sz w:val="18"/>
        </w:rPr>
        <w:t>Table 2</w:t>
      </w:r>
      <w:r w:rsidR="008D29A2" w:rsidRPr="00CA6939">
        <w:rPr>
          <w:rFonts w:ascii="Cambria" w:hAnsi="Cambria"/>
          <w:b/>
          <w:sz w:val="18"/>
        </w:rPr>
        <w:t xml:space="preserve">. </w:t>
      </w:r>
      <w:r w:rsidR="00182765" w:rsidRPr="00CA6939">
        <w:rPr>
          <w:rFonts w:ascii="Cambria" w:hAnsi="Cambria"/>
          <w:b/>
          <w:sz w:val="18"/>
        </w:rPr>
        <w:t xml:space="preserve">The matrix of Pearson’s correlation coefficients </w:t>
      </w:r>
      <w:r w:rsidR="008D29A2" w:rsidRPr="00CA6939">
        <w:rPr>
          <w:rFonts w:ascii="Cambria" w:hAnsi="Cambria"/>
          <w:b/>
          <w:sz w:val="18"/>
        </w:rPr>
        <w:t>(Source: Author</w:t>
      </w:r>
      <w:r w:rsidR="00154F28" w:rsidRPr="00CA6939">
        <w:rPr>
          <w:rFonts w:ascii="Cambria" w:hAnsi="Cambria"/>
          <w:b/>
          <w:sz w:val="18"/>
        </w:rPr>
        <w:t>)</w:t>
      </w:r>
    </w:p>
    <w:tbl>
      <w:tblPr>
        <w:tblW w:w="8928" w:type="dxa"/>
        <w:jc w:val="center"/>
        <w:tblLook w:val="01E0" w:firstRow="1" w:lastRow="1" w:firstColumn="1" w:lastColumn="1" w:noHBand="0" w:noVBand="0"/>
      </w:tblPr>
      <w:tblGrid>
        <w:gridCol w:w="992"/>
        <w:gridCol w:w="992"/>
        <w:gridCol w:w="992"/>
        <w:gridCol w:w="992"/>
        <w:gridCol w:w="992"/>
        <w:gridCol w:w="992"/>
        <w:gridCol w:w="992"/>
        <w:gridCol w:w="992"/>
        <w:gridCol w:w="992"/>
      </w:tblGrid>
      <w:tr w:rsidR="0029731A" w:rsidRPr="00CA6939" w:rsidTr="00374A97">
        <w:trPr>
          <w:trHeight w:val="125"/>
          <w:jc w:val="center"/>
        </w:trPr>
        <w:tc>
          <w:tcPr>
            <w:tcW w:w="992" w:type="dxa"/>
            <w:tcBorders>
              <w:top w:val="single" w:sz="4" w:space="0" w:color="auto"/>
              <w:bottom w:val="single" w:sz="4" w:space="0" w:color="auto"/>
            </w:tcBorders>
            <w:shd w:val="clear" w:color="auto" w:fill="D9D9D9"/>
          </w:tcPr>
          <w:p w:rsidR="0029731A" w:rsidRPr="00CA6939" w:rsidRDefault="0029731A" w:rsidP="00374A97">
            <w:pPr>
              <w:pStyle w:val="Els-table-text"/>
              <w:keepNext/>
              <w:spacing w:before="60" w:after="60" w:line="240" w:lineRule="auto"/>
              <w:ind w:left="-57" w:right="-57"/>
              <w:rPr>
                <w:rFonts w:ascii="Cambria" w:hAnsi="Cambria"/>
                <w:b/>
                <w:sz w:val="18"/>
              </w:rPr>
            </w:pPr>
          </w:p>
        </w:tc>
        <w:tc>
          <w:tcPr>
            <w:tcW w:w="992" w:type="dxa"/>
            <w:tcBorders>
              <w:top w:val="single" w:sz="4" w:space="0" w:color="auto"/>
              <w:bottom w:val="single" w:sz="4" w:space="0" w:color="auto"/>
            </w:tcBorders>
            <w:shd w:val="clear" w:color="auto" w:fill="D9D9D9"/>
          </w:tcPr>
          <w:p w:rsidR="0029731A" w:rsidRPr="00CA6939" w:rsidRDefault="0029731A" w:rsidP="00374A97">
            <w:pPr>
              <w:pStyle w:val="Els-table-text"/>
              <w:keepNext/>
              <w:spacing w:before="60" w:after="60" w:line="240" w:lineRule="auto"/>
              <w:ind w:left="-57" w:right="-57"/>
              <w:rPr>
                <w:rFonts w:ascii="Cambria" w:hAnsi="Cambria"/>
                <w:b/>
                <w:sz w:val="18"/>
              </w:rPr>
            </w:pPr>
            <w:r w:rsidRPr="00CA6939">
              <w:rPr>
                <w:rFonts w:ascii="Cambria" w:hAnsi="Cambria"/>
                <w:b/>
                <w:sz w:val="18"/>
              </w:rPr>
              <w:t xml:space="preserve">GODI </w:t>
            </w:r>
            <w:r w:rsidRPr="00CA6939">
              <w:rPr>
                <w:rFonts w:ascii="Cambria" w:hAnsi="Cambria"/>
                <w:b/>
              </w:rPr>
              <w:t>2013</w:t>
            </w:r>
          </w:p>
        </w:tc>
        <w:tc>
          <w:tcPr>
            <w:tcW w:w="992" w:type="dxa"/>
            <w:tcBorders>
              <w:top w:val="single" w:sz="4" w:space="0" w:color="auto"/>
              <w:bottom w:val="single" w:sz="4" w:space="0" w:color="auto"/>
            </w:tcBorders>
            <w:shd w:val="clear" w:color="auto" w:fill="D9D9D9"/>
          </w:tcPr>
          <w:p w:rsidR="0029731A" w:rsidRPr="00CA6939" w:rsidRDefault="0029731A" w:rsidP="00374A97">
            <w:pPr>
              <w:pStyle w:val="Els-table-text"/>
              <w:keepNext/>
              <w:spacing w:before="60" w:after="60" w:line="240" w:lineRule="auto"/>
              <w:ind w:left="-57" w:right="-57"/>
              <w:rPr>
                <w:rFonts w:ascii="Cambria" w:hAnsi="Cambria"/>
                <w:b/>
                <w:sz w:val="18"/>
              </w:rPr>
            </w:pPr>
            <w:r w:rsidRPr="00CA6939">
              <w:rPr>
                <w:rFonts w:ascii="Cambria" w:hAnsi="Cambria"/>
                <w:b/>
                <w:sz w:val="18"/>
              </w:rPr>
              <w:t xml:space="preserve">GODI </w:t>
            </w:r>
            <w:r w:rsidRPr="00CA6939">
              <w:rPr>
                <w:rFonts w:ascii="Cambria" w:hAnsi="Cambria"/>
                <w:b/>
              </w:rPr>
              <w:t>2015</w:t>
            </w:r>
          </w:p>
        </w:tc>
        <w:tc>
          <w:tcPr>
            <w:tcW w:w="992" w:type="dxa"/>
            <w:tcBorders>
              <w:top w:val="single" w:sz="4" w:space="0" w:color="auto"/>
              <w:bottom w:val="single" w:sz="4" w:space="0" w:color="auto"/>
            </w:tcBorders>
            <w:shd w:val="clear" w:color="auto" w:fill="D9D9D9"/>
          </w:tcPr>
          <w:p w:rsidR="0029731A" w:rsidRPr="00CA6939" w:rsidRDefault="0029731A" w:rsidP="00374A97">
            <w:pPr>
              <w:pStyle w:val="Els-table-text"/>
              <w:keepNext/>
              <w:spacing w:before="60" w:after="60" w:line="240" w:lineRule="auto"/>
              <w:ind w:left="-57" w:right="-57"/>
              <w:rPr>
                <w:rFonts w:ascii="Cambria" w:hAnsi="Cambria"/>
                <w:b/>
                <w:sz w:val="18"/>
              </w:rPr>
            </w:pPr>
            <w:r w:rsidRPr="00CA6939">
              <w:rPr>
                <w:rFonts w:ascii="Cambria" w:hAnsi="Cambria"/>
                <w:b/>
                <w:sz w:val="18"/>
              </w:rPr>
              <w:t xml:space="preserve">ODBI </w:t>
            </w:r>
            <w:r w:rsidRPr="00CA6939">
              <w:rPr>
                <w:rFonts w:ascii="Cambria" w:hAnsi="Cambria"/>
                <w:b/>
              </w:rPr>
              <w:t>2013</w:t>
            </w:r>
          </w:p>
        </w:tc>
        <w:tc>
          <w:tcPr>
            <w:tcW w:w="992" w:type="dxa"/>
            <w:tcBorders>
              <w:top w:val="single" w:sz="4" w:space="0" w:color="auto"/>
              <w:bottom w:val="single" w:sz="4" w:space="0" w:color="auto"/>
            </w:tcBorders>
            <w:shd w:val="clear" w:color="auto" w:fill="D9D9D9"/>
          </w:tcPr>
          <w:p w:rsidR="0029731A" w:rsidRPr="00CA6939" w:rsidRDefault="0029731A" w:rsidP="00374A97">
            <w:pPr>
              <w:pStyle w:val="Els-table-text"/>
              <w:keepNext/>
              <w:spacing w:before="60" w:after="60" w:line="240" w:lineRule="auto"/>
              <w:ind w:left="-57" w:right="-57"/>
              <w:rPr>
                <w:rFonts w:ascii="Cambria" w:hAnsi="Cambria"/>
                <w:b/>
                <w:sz w:val="18"/>
              </w:rPr>
            </w:pPr>
            <w:r w:rsidRPr="00CA6939">
              <w:rPr>
                <w:rFonts w:ascii="Cambria" w:hAnsi="Cambria"/>
                <w:b/>
                <w:sz w:val="18"/>
              </w:rPr>
              <w:t xml:space="preserve">ODBI </w:t>
            </w:r>
            <w:r w:rsidRPr="00CA6939">
              <w:rPr>
                <w:rFonts w:ascii="Cambria" w:hAnsi="Cambria"/>
                <w:b/>
              </w:rPr>
              <w:t>2015</w:t>
            </w:r>
          </w:p>
        </w:tc>
        <w:tc>
          <w:tcPr>
            <w:tcW w:w="992" w:type="dxa"/>
            <w:tcBorders>
              <w:top w:val="single" w:sz="4" w:space="0" w:color="auto"/>
              <w:bottom w:val="single" w:sz="4" w:space="0" w:color="auto"/>
            </w:tcBorders>
            <w:shd w:val="clear" w:color="auto" w:fill="D9D9D9"/>
          </w:tcPr>
          <w:p w:rsidR="0029731A" w:rsidRPr="00CA6939" w:rsidRDefault="0029731A" w:rsidP="00374A97">
            <w:pPr>
              <w:pStyle w:val="Els-table-text"/>
              <w:keepNext/>
              <w:spacing w:before="60" w:after="60" w:line="240" w:lineRule="auto"/>
              <w:ind w:left="-57" w:right="-57"/>
              <w:rPr>
                <w:rFonts w:ascii="Cambria" w:hAnsi="Cambria"/>
                <w:b/>
                <w:sz w:val="18"/>
              </w:rPr>
            </w:pPr>
            <w:r w:rsidRPr="00CA6939">
              <w:rPr>
                <w:rFonts w:ascii="Cambria" w:hAnsi="Cambria"/>
                <w:b/>
                <w:sz w:val="18"/>
              </w:rPr>
              <w:t xml:space="preserve">CPI </w:t>
            </w:r>
            <w:r w:rsidRPr="00CA6939">
              <w:rPr>
                <w:rFonts w:ascii="Cambria" w:hAnsi="Cambria"/>
                <w:b/>
              </w:rPr>
              <w:t>2013</w:t>
            </w:r>
          </w:p>
        </w:tc>
        <w:tc>
          <w:tcPr>
            <w:tcW w:w="992" w:type="dxa"/>
            <w:tcBorders>
              <w:top w:val="single" w:sz="4" w:space="0" w:color="auto"/>
              <w:bottom w:val="single" w:sz="4" w:space="0" w:color="auto"/>
            </w:tcBorders>
            <w:shd w:val="clear" w:color="auto" w:fill="D9D9D9"/>
          </w:tcPr>
          <w:p w:rsidR="0029731A" w:rsidRPr="00CA6939" w:rsidRDefault="0029731A" w:rsidP="00374A97">
            <w:pPr>
              <w:pStyle w:val="Els-table-text"/>
              <w:keepNext/>
              <w:spacing w:before="60" w:after="60" w:line="240" w:lineRule="auto"/>
              <w:ind w:left="-57" w:right="-57"/>
              <w:rPr>
                <w:rFonts w:ascii="Cambria" w:hAnsi="Cambria"/>
                <w:b/>
                <w:sz w:val="18"/>
              </w:rPr>
            </w:pPr>
            <w:r w:rsidRPr="00CA6939">
              <w:rPr>
                <w:rFonts w:ascii="Cambria" w:hAnsi="Cambria"/>
                <w:b/>
                <w:sz w:val="18"/>
              </w:rPr>
              <w:t xml:space="preserve">CPI </w:t>
            </w:r>
            <w:r w:rsidRPr="00CA6939">
              <w:rPr>
                <w:rFonts w:ascii="Cambria" w:hAnsi="Cambria"/>
                <w:b/>
              </w:rPr>
              <w:t>2015</w:t>
            </w:r>
          </w:p>
        </w:tc>
        <w:tc>
          <w:tcPr>
            <w:tcW w:w="992" w:type="dxa"/>
            <w:tcBorders>
              <w:top w:val="single" w:sz="4" w:space="0" w:color="auto"/>
              <w:bottom w:val="single" w:sz="4" w:space="0" w:color="auto"/>
            </w:tcBorders>
            <w:shd w:val="clear" w:color="auto" w:fill="D9D9D9"/>
          </w:tcPr>
          <w:p w:rsidR="0029731A" w:rsidRPr="00CA6939" w:rsidRDefault="0029731A" w:rsidP="00374A97">
            <w:pPr>
              <w:pStyle w:val="Els-table-text"/>
              <w:keepNext/>
              <w:spacing w:before="60" w:after="60" w:line="240" w:lineRule="auto"/>
              <w:ind w:left="-57" w:right="-57"/>
              <w:rPr>
                <w:rFonts w:ascii="Cambria" w:hAnsi="Cambria"/>
                <w:b/>
                <w:sz w:val="18"/>
              </w:rPr>
            </w:pPr>
            <w:r w:rsidRPr="00CA6939">
              <w:rPr>
                <w:rFonts w:ascii="Cambria" w:hAnsi="Cambria"/>
                <w:b/>
                <w:sz w:val="18"/>
              </w:rPr>
              <w:t xml:space="preserve">CCI </w:t>
            </w:r>
            <w:r w:rsidRPr="00CA6939">
              <w:rPr>
                <w:rFonts w:ascii="Cambria" w:hAnsi="Cambria"/>
                <w:b/>
              </w:rPr>
              <w:t>2013</w:t>
            </w:r>
          </w:p>
        </w:tc>
        <w:tc>
          <w:tcPr>
            <w:tcW w:w="992" w:type="dxa"/>
            <w:tcBorders>
              <w:top w:val="single" w:sz="4" w:space="0" w:color="auto"/>
              <w:bottom w:val="single" w:sz="4" w:space="0" w:color="auto"/>
            </w:tcBorders>
            <w:shd w:val="clear" w:color="auto" w:fill="D9D9D9"/>
          </w:tcPr>
          <w:p w:rsidR="0029731A" w:rsidRPr="00CA6939" w:rsidRDefault="0029731A" w:rsidP="00374A97">
            <w:pPr>
              <w:pStyle w:val="Els-table-text"/>
              <w:keepNext/>
              <w:spacing w:before="60" w:after="60" w:line="240" w:lineRule="auto"/>
              <w:ind w:left="-57" w:right="-57"/>
              <w:rPr>
                <w:rFonts w:ascii="Cambria" w:hAnsi="Cambria"/>
                <w:b/>
                <w:sz w:val="18"/>
              </w:rPr>
            </w:pPr>
            <w:r w:rsidRPr="00CA6939">
              <w:rPr>
                <w:rFonts w:ascii="Cambria" w:hAnsi="Cambria"/>
                <w:b/>
                <w:sz w:val="18"/>
              </w:rPr>
              <w:t xml:space="preserve">CCI </w:t>
            </w:r>
            <w:r w:rsidRPr="00CA6939">
              <w:rPr>
                <w:rFonts w:ascii="Cambria" w:hAnsi="Cambria"/>
                <w:b/>
              </w:rPr>
              <w:t>2015</w:t>
            </w:r>
          </w:p>
        </w:tc>
      </w:tr>
      <w:tr w:rsidR="00D358AC" w:rsidRPr="00CA6939" w:rsidTr="00374A97">
        <w:trPr>
          <w:trHeight w:val="125"/>
          <w:jc w:val="center"/>
        </w:trPr>
        <w:tc>
          <w:tcPr>
            <w:tcW w:w="992" w:type="dxa"/>
            <w:tcBorders>
              <w:top w:val="single" w:sz="4" w:space="0" w:color="auto"/>
            </w:tcBorders>
          </w:tcPr>
          <w:p w:rsidR="00D358AC" w:rsidRPr="00CA6939" w:rsidRDefault="00D358AC" w:rsidP="00374A97">
            <w:pPr>
              <w:pStyle w:val="Els-table-text"/>
              <w:keepNext/>
              <w:spacing w:before="60" w:after="60" w:line="240" w:lineRule="auto"/>
              <w:ind w:left="-57" w:right="-57"/>
              <w:rPr>
                <w:rFonts w:ascii="Cambria" w:hAnsi="Cambria"/>
                <w:sz w:val="18"/>
              </w:rPr>
            </w:pPr>
            <w:r w:rsidRPr="00CA6939">
              <w:rPr>
                <w:rFonts w:ascii="Cambria" w:hAnsi="Cambria"/>
                <w:sz w:val="18"/>
              </w:rPr>
              <w:t xml:space="preserve">GODI </w:t>
            </w:r>
            <w:r w:rsidRPr="00CA6939">
              <w:rPr>
                <w:rFonts w:ascii="Cambria" w:hAnsi="Cambria"/>
              </w:rPr>
              <w:t>2013</w:t>
            </w:r>
          </w:p>
        </w:tc>
        <w:tc>
          <w:tcPr>
            <w:tcW w:w="992" w:type="dxa"/>
            <w:tcBorders>
              <w:top w:val="single" w:sz="4" w:space="0" w:color="auto"/>
            </w:tcBorders>
            <w:vAlign w:val="center"/>
          </w:tcPr>
          <w:p w:rsidR="00D358AC" w:rsidRPr="00CA6939" w:rsidRDefault="00D358AC" w:rsidP="00374A97">
            <w:pPr>
              <w:keepNext/>
              <w:spacing w:before="60" w:after="60"/>
              <w:ind w:firstLine="0"/>
              <w:jc w:val="left"/>
              <w:rPr>
                <w:sz w:val="18"/>
                <w:szCs w:val="18"/>
                <w:lang w:val="en-US"/>
              </w:rPr>
            </w:pPr>
            <w:r w:rsidRPr="00CA6939">
              <w:rPr>
                <w:sz w:val="18"/>
                <w:szCs w:val="18"/>
                <w:lang w:val="en-US"/>
              </w:rPr>
              <w:t>1.000</w:t>
            </w:r>
          </w:p>
        </w:tc>
        <w:tc>
          <w:tcPr>
            <w:tcW w:w="992" w:type="dxa"/>
            <w:tcBorders>
              <w:top w:val="single" w:sz="4" w:space="0" w:color="auto"/>
            </w:tcBorders>
            <w:vAlign w:val="center"/>
          </w:tcPr>
          <w:p w:rsidR="00D358AC" w:rsidRPr="00CA6939" w:rsidRDefault="00D358AC" w:rsidP="00374A97">
            <w:pPr>
              <w:keepNext/>
              <w:spacing w:before="60" w:after="60"/>
              <w:ind w:firstLine="0"/>
              <w:jc w:val="left"/>
              <w:rPr>
                <w:sz w:val="18"/>
                <w:szCs w:val="18"/>
                <w:lang w:val="en-US"/>
              </w:rPr>
            </w:pPr>
          </w:p>
        </w:tc>
        <w:tc>
          <w:tcPr>
            <w:tcW w:w="992" w:type="dxa"/>
            <w:tcBorders>
              <w:top w:val="single" w:sz="4" w:space="0" w:color="auto"/>
            </w:tcBorders>
            <w:vAlign w:val="center"/>
          </w:tcPr>
          <w:p w:rsidR="00D358AC" w:rsidRPr="00CA6939" w:rsidRDefault="00D358AC" w:rsidP="00374A97">
            <w:pPr>
              <w:keepNext/>
              <w:spacing w:before="60" w:after="60"/>
              <w:ind w:firstLine="0"/>
              <w:jc w:val="left"/>
              <w:rPr>
                <w:sz w:val="18"/>
                <w:szCs w:val="18"/>
                <w:lang w:val="en-US"/>
              </w:rPr>
            </w:pPr>
          </w:p>
        </w:tc>
        <w:tc>
          <w:tcPr>
            <w:tcW w:w="992" w:type="dxa"/>
            <w:tcBorders>
              <w:top w:val="single" w:sz="4" w:space="0" w:color="auto"/>
            </w:tcBorders>
            <w:vAlign w:val="center"/>
          </w:tcPr>
          <w:p w:rsidR="00D358AC" w:rsidRPr="00CA6939" w:rsidRDefault="00D358AC" w:rsidP="00374A97">
            <w:pPr>
              <w:keepNext/>
              <w:spacing w:before="60" w:after="60"/>
              <w:ind w:firstLine="0"/>
              <w:jc w:val="left"/>
              <w:rPr>
                <w:sz w:val="18"/>
                <w:szCs w:val="18"/>
                <w:lang w:val="en-US"/>
              </w:rPr>
            </w:pPr>
          </w:p>
        </w:tc>
        <w:tc>
          <w:tcPr>
            <w:tcW w:w="992" w:type="dxa"/>
            <w:tcBorders>
              <w:top w:val="single" w:sz="4" w:space="0" w:color="auto"/>
            </w:tcBorders>
            <w:vAlign w:val="center"/>
          </w:tcPr>
          <w:p w:rsidR="00D358AC" w:rsidRPr="00CA6939" w:rsidRDefault="00D358AC" w:rsidP="00374A97">
            <w:pPr>
              <w:keepNext/>
              <w:spacing w:before="60" w:after="60"/>
              <w:ind w:firstLine="0"/>
              <w:jc w:val="left"/>
              <w:rPr>
                <w:sz w:val="18"/>
                <w:szCs w:val="18"/>
                <w:lang w:val="en-US"/>
              </w:rPr>
            </w:pPr>
          </w:p>
        </w:tc>
        <w:tc>
          <w:tcPr>
            <w:tcW w:w="992" w:type="dxa"/>
            <w:tcBorders>
              <w:top w:val="single" w:sz="4" w:space="0" w:color="auto"/>
            </w:tcBorders>
            <w:vAlign w:val="center"/>
          </w:tcPr>
          <w:p w:rsidR="00D358AC" w:rsidRPr="00CA6939" w:rsidRDefault="00D358AC" w:rsidP="00374A97">
            <w:pPr>
              <w:keepNext/>
              <w:spacing w:before="60" w:after="60"/>
              <w:ind w:firstLine="0"/>
              <w:jc w:val="left"/>
              <w:rPr>
                <w:sz w:val="18"/>
                <w:szCs w:val="18"/>
                <w:lang w:val="en-US"/>
              </w:rPr>
            </w:pPr>
          </w:p>
        </w:tc>
        <w:tc>
          <w:tcPr>
            <w:tcW w:w="992" w:type="dxa"/>
            <w:tcBorders>
              <w:top w:val="single" w:sz="4" w:space="0" w:color="auto"/>
            </w:tcBorders>
            <w:vAlign w:val="center"/>
          </w:tcPr>
          <w:p w:rsidR="00D358AC" w:rsidRPr="00CA6939" w:rsidRDefault="00D358AC" w:rsidP="00374A97">
            <w:pPr>
              <w:keepNext/>
              <w:spacing w:before="60" w:after="60"/>
              <w:ind w:firstLine="0"/>
              <w:jc w:val="left"/>
              <w:rPr>
                <w:sz w:val="18"/>
                <w:szCs w:val="18"/>
                <w:lang w:val="en-US"/>
              </w:rPr>
            </w:pPr>
          </w:p>
        </w:tc>
        <w:tc>
          <w:tcPr>
            <w:tcW w:w="992" w:type="dxa"/>
            <w:tcBorders>
              <w:top w:val="single" w:sz="4" w:space="0" w:color="auto"/>
            </w:tcBorders>
            <w:vAlign w:val="center"/>
          </w:tcPr>
          <w:p w:rsidR="00D358AC" w:rsidRPr="00CA6939" w:rsidRDefault="00D358AC" w:rsidP="00374A97">
            <w:pPr>
              <w:keepNext/>
              <w:spacing w:before="60" w:after="60"/>
              <w:ind w:firstLine="0"/>
              <w:jc w:val="left"/>
              <w:rPr>
                <w:sz w:val="18"/>
                <w:szCs w:val="18"/>
                <w:lang w:val="en-US"/>
              </w:rPr>
            </w:pPr>
          </w:p>
        </w:tc>
      </w:tr>
      <w:tr w:rsidR="00D358AC" w:rsidRPr="00CA6939" w:rsidTr="00374A97">
        <w:trPr>
          <w:trHeight w:val="125"/>
          <w:jc w:val="center"/>
        </w:trPr>
        <w:tc>
          <w:tcPr>
            <w:tcW w:w="992" w:type="dxa"/>
          </w:tcPr>
          <w:p w:rsidR="00D358AC" w:rsidRPr="00CA6939" w:rsidRDefault="00D358AC" w:rsidP="00374A97">
            <w:pPr>
              <w:pStyle w:val="Els-table-text"/>
              <w:keepNext/>
              <w:spacing w:before="60" w:after="60" w:line="240" w:lineRule="auto"/>
              <w:ind w:left="-57" w:right="-57"/>
              <w:rPr>
                <w:rFonts w:ascii="Cambria" w:hAnsi="Cambria"/>
                <w:sz w:val="18"/>
              </w:rPr>
            </w:pPr>
            <w:r w:rsidRPr="00CA6939">
              <w:rPr>
                <w:rFonts w:ascii="Cambria" w:hAnsi="Cambria"/>
                <w:sz w:val="18"/>
              </w:rPr>
              <w:t xml:space="preserve">GODI </w:t>
            </w:r>
            <w:r w:rsidRPr="00CA6939">
              <w:rPr>
                <w:rFonts w:ascii="Cambria" w:hAnsi="Cambria"/>
              </w:rPr>
              <w:t>2015</w:t>
            </w:r>
          </w:p>
        </w:tc>
        <w:tc>
          <w:tcPr>
            <w:tcW w:w="992" w:type="dxa"/>
            <w:vAlign w:val="center"/>
          </w:tcPr>
          <w:p w:rsidR="00D358AC" w:rsidRPr="00CA6939" w:rsidRDefault="00D358AC" w:rsidP="00374A97">
            <w:pPr>
              <w:keepNext/>
              <w:spacing w:before="60" w:after="60"/>
              <w:ind w:firstLine="0"/>
              <w:jc w:val="left"/>
              <w:rPr>
                <w:sz w:val="18"/>
                <w:szCs w:val="18"/>
                <w:lang w:val="en-US"/>
              </w:rPr>
            </w:pPr>
            <w:r w:rsidRPr="00CA6939">
              <w:rPr>
                <w:sz w:val="18"/>
                <w:szCs w:val="18"/>
                <w:lang w:val="en-US"/>
              </w:rPr>
              <w:t>0.790</w:t>
            </w:r>
          </w:p>
        </w:tc>
        <w:tc>
          <w:tcPr>
            <w:tcW w:w="992" w:type="dxa"/>
            <w:vAlign w:val="center"/>
          </w:tcPr>
          <w:p w:rsidR="00D358AC" w:rsidRPr="00CA6939" w:rsidRDefault="00D358AC" w:rsidP="00374A97">
            <w:pPr>
              <w:keepNext/>
              <w:spacing w:before="60" w:after="60"/>
              <w:ind w:firstLine="0"/>
              <w:jc w:val="left"/>
              <w:rPr>
                <w:sz w:val="18"/>
                <w:szCs w:val="18"/>
                <w:lang w:val="en-US"/>
              </w:rPr>
            </w:pPr>
            <w:r w:rsidRPr="00CA6939">
              <w:rPr>
                <w:sz w:val="18"/>
                <w:szCs w:val="18"/>
                <w:lang w:val="en-US"/>
              </w:rPr>
              <w:t>1.000</w:t>
            </w:r>
          </w:p>
        </w:tc>
        <w:tc>
          <w:tcPr>
            <w:tcW w:w="992" w:type="dxa"/>
            <w:vAlign w:val="center"/>
          </w:tcPr>
          <w:p w:rsidR="00D358AC" w:rsidRPr="00CA6939" w:rsidRDefault="00D358AC" w:rsidP="00374A97">
            <w:pPr>
              <w:keepNext/>
              <w:spacing w:before="60" w:after="60"/>
              <w:ind w:firstLine="0"/>
              <w:jc w:val="left"/>
              <w:rPr>
                <w:sz w:val="18"/>
                <w:szCs w:val="18"/>
                <w:lang w:val="en-US"/>
              </w:rPr>
            </w:pPr>
          </w:p>
        </w:tc>
        <w:tc>
          <w:tcPr>
            <w:tcW w:w="992" w:type="dxa"/>
            <w:vAlign w:val="center"/>
          </w:tcPr>
          <w:p w:rsidR="00D358AC" w:rsidRPr="00CA6939" w:rsidRDefault="00D358AC" w:rsidP="00374A97">
            <w:pPr>
              <w:keepNext/>
              <w:spacing w:before="60" w:after="60"/>
              <w:ind w:firstLine="0"/>
              <w:jc w:val="left"/>
              <w:rPr>
                <w:sz w:val="18"/>
                <w:szCs w:val="18"/>
                <w:lang w:val="en-US"/>
              </w:rPr>
            </w:pPr>
          </w:p>
        </w:tc>
        <w:tc>
          <w:tcPr>
            <w:tcW w:w="992" w:type="dxa"/>
            <w:vAlign w:val="center"/>
          </w:tcPr>
          <w:p w:rsidR="00D358AC" w:rsidRPr="00CA6939" w:rsidRDefault="00D358AC" w:rsidP="00374A97">
            <w:pPr>
              <w:keepNext/>
              <w:spacing w:before="60" w:after="60"/>
              <w:ind w:firstLine="0"/>
              <w:jc w:val="left"/>
              <w:rPr>
                <w:sz w:val="18"/>
                <w:szCs w:val="18"/>
                <w:lang w:val="en-US"/>
              </w:rPr>
            </w:pPr>
          </w:p>
        </w:tc>
        <w:tc>
          <w:tcPr>
            <w:tcW w:w="992" w:type="dxa"/>
            <w:vAlign w:val="center"/>
          </w:tcPr>
          <w:p w:rsidR="00D358AC" w:rsidRPr="00CA6939" w:rsidRDefault="00D358AC" w:rsidP="00374A97">
            <w:pPr>
              <w:keepNext/>
              <w:spacing w:before="60" w:after="60"/>
              <w:ind w:firstLine="0"/>
              <w:jc w:val="left"/>
              <w:rPr>
                <w:sz w:val="18"/>
                <w:szCs w:val="18"/>
                <w:lang w:val="en-US"/>
              </w:rPr>
            </w:pPr>
          </w:p>
        </w:tc>
        <w:tc>
          <w:tcPr>
            <w:tcW w:w="992" w:type="dxa"/>
            <w:vAlign w:val="center"/>
          </w:tcPr>
          <w:p w:rsidR="00D358AC" w:rsidRPr="00CA6939" w:rsidRDefault="00D358AC" w:rsidP="00374A97">
            <w:pPr>
              <w:keepNext/>
              <w:spacing w:before="60" w:after="60"/>
              <w:ind w:firstLine="0"/>
              <w:jc w:val="left"/>
              <w:rPr>
                <w:sz w:val="18"/>
                <w:szCs w:val="18"/>
                <w:lang w:val="en-US"/>
              </w:rPr>
            </w:pPr>
          </w:p>
        </w:tc>
        <w:tc>
          <w:tcPr>
            <w:tcW w:w="992" w:type="dxa"/>
            <w:vAlign w:val="center"/>
          </w:tcPr>
          <w:p w:rsidR="00D358AC" w:rsidRPr="00CA6939" w:rsidRDefault="00D358AC" w:rsidP="00374A97">
            <w:pPr>
              <w:keepNext/>
              <w:spacing w:before="60" w:after="60"/>
              <w:ind w:firstLine="0"/>
              <w:jc w:val="left"/>
              <w:rPr>
                <w:sz w:val="18"/>
                <w:szCs w:val="18"/>
                <w:lang w:val="en-US"/>
              </w:rPr>
            </w:pPr>
          </w:p>
        </w:tc>
      </w:tr>
      <w:tr w:rsidR="00D358AC" w:rsidRPr="00CA6939" w:rsidTr="00374A97">
        <w:trPr>
          <w:trHeight w:val="125"/>
          <w:jc w:val="center"/>
        </w:trPr>
        <w:tc>
          <w:tcPr>
            <w:tcW w:w="992" w:type="dxa"/>
          </w:tcPr>
          <w:p w:rsidR="00D358AC" w:rsidRPr="00CA6939" w:rsidRDefault="00D358AC" w:rsidP="00374A97">
            <w:pPr>
              <w:pStyle w:val="Els-table-text"/>
              <w:keepNext/>
              <w:spacing w:before="60" w:after="60" w:line="240" w:lineRule="auto"/>
              <w:ind w:left="-57" w:right="-57"/>
              <w:rPr>
                <w:rFonts w:ascii="Cambria" w:hAnsi="Cambria"/>
                <w:sz w:val="18"/>
              </w:rPr>
            </w:pPr>
            <w:r w:rsidRPr="00CA6939">
              <w:rPr>
                <w:rFonts w:ascii="Cambria" w:hAnsi="Cambria"/>
                <w:sz w:val="18"/>
              </w:rPr>
              <w:t xml:space="preserve">ODBI </w:t>
            </w:r>
            <w:r w:rsidRPr="00CA6939">
              <w:rPr>
                <w:rFonts w:ascii="Cambria" w:hAnsi="Cambria"/>
              </w:rPr>
              <w:t>2013</w:t>
            </w:r>
          </w:p>
        </w:tc>
        <w:tc>
          <w:tcPr>
            <w:tcW w:w="992" w:type="dxa"/>
            <w:vAlign w:val="center"/>
          </w:tcPr>
          <w:p w:rsidR="00D358AC" w:rsidRPr="00CA6939" w:rsidRDefault="00D358AC" w:rsidP="00374A97">
            <w:pPr>
              <w:keepNext/>
              <w:spacing w:before="60" w:after="60"/>
              <w:ind w:firstLine="0"/>
              <w:jc w:val="left"/>
              <w:rPr>
                <w:sz w:val="18"/>
                <w:szCs w:val="18"/>
                <w:lang w:val="en-US"/>
              </w:rPr>
            </w:pPr>
            <w:r w:rsidRPr="00CA6939">
              <w:rPr>
                <w:sz w:val="18"/>
                <w:szCs w:val="18"/>
                <w:lang w:val="en-US"/>
              </w:rPr>
              <w:t>0.851</w:t>
            </w:r>
          </w:p>
        </w:tc>
        <w:tc>
          <w:tcPr>
            <w:tcW w:w="992" w:type="dxa"/>
            <w:vAlign w:val="center"/>
          </w:tcPr>
          <w:p w:rsidR="00D358AC" w:rsidRPr="00CA6939" w:rsidRDefault="00D358AC" w:rsidP="00374A97">
            <w:pPr>
              <w:keepNext/>
              <w:spacing w:before="60" w:after="60"/>
              <w:ind w:firstLine="0"/>
              <w:jc w:val="left"/>
              <w:rPr>
                <w:sz w:val="18"/>
                <w:szCs w:val="18"/>
                <w:lang w:val="en-US"/>
              </w:rPr>
            </w:pPr>
            <w:r w:rsidRPr="00CA6939">
              <w:rPr>
                <w:sz w:val="18"/>
                <w:szCs w:val="18"/>
                <w:lang w:val="en-US"/>
              </w:rPr>
              <w:t>0.792</w:t>
            </w:r>
          </w:p>
        </w:tc>
        <w:tc>
          <w:tcPr>
            <w:tcW w:w="992" w:type="dxa"/>
            <w:vAlign w:val="center"/>
          </w:tcPr>
          <w:p w:rsidR="00D358AC" w:rsidRPr="00CA6939" w:rsidRDefault="00D358AC" w:rsidP="00374A97">
            <w:pPr>
              <w:keepNext/>
              <w:spacing w:before="60" w:after="60"/>
              <w:ind w:firstLine="0"/>
              <w:jc w:val="left"/>
              <w:rPr>
                <w:sz w:val="18"/>
                <w:szCs w:val="18"/>
                <w:lang w:val="en-US"/>
              </w:rPr>
            </w:pPr>
            <w:r w:rsidRPr="00CA6939">
              <w:rPr>
                <w:sz w:val="18"/>
                <w:szCs w:val="18"/>
                <w:lang w:val="en-US"/>
              </w:rPr>
              <w:t>1.000</w:t>
            </w:r>
          </w:p>
        </w:tc>
        <w:tc>
          <w:tcPr>
            <w:tcW w:w="992" w:type="dxa"/>
            <w:vAlign w:val="center"/>
          </w:tcPr>
          <w:p w:rsidR="00D358AC" w:rsidRPr="00CA6939" w:rsidRDefault="00D358AC" w:rsidP="00374A97">
            <w:pPr>
              <w:keepNext/>
              <w:spacing w:before="60" w:after="60"/>
              <w:ind w:firstLine="0"/>
              <w:jc w:val="left"/>
              <w:rPr>
                <w:sz w:val="18"/>
                <w:szCs w:val="18"/>
                <w:lang w:val="en-US"/>
              </w:rPr>
            </w:pPr>
          </w:p>
        </w:tc>
        <w:tc>
          <w:tcPr>
            <w:tcW w:w="992" w:type="dxa"/>
            <w:vAlign w:val="center"/>
          </w:tcPr>
          <w:p w:rsidR="00D358AC" w:rsidRPr="00CA6939" w:rsidRDefault="00D358AC" w:rsidP="00374A97">
            <w:pPr>
              <w:keepNext/>
              <w:spacing w:before="60" w:after="60"/>
              <w:ind w:firstLine="0"/>
              <w:jc w:val="left"/>
              <w:rPr>
                <w:sz w:val="18"/>
                <w:szCs w:val="18"/>
                <w:lang w:val="en-US"/>
              </w:rPr>
            </w:pPr>
          </w:p>
        </w:tc>
        <w:tc>
          <w:tcPr>
            <w:tcW w:w="992" w:type="dxa"/>
            <w:vAlign w:val="center"/>
          </w:tcPr>
          <w:p w:rsidR="00D358AC" w:rsidRPr="00CA6939" w:rsidRDefault="00D358AC" w:rsidP="00374A97">
            <w:pPr>
              <w:keepNext/>
              <w:spacing w:before="60" w:after="60"/>
              <w:ind w:firstLine="0"/>
              <w:jc w:val="left"/>
              <w:rPr>
                <w:sz w:val="18"/>
                <w:szCs w:val="18"/>
                <w:lang w:val="en-US"/>
              </w:rPr>
            </w:pPr>
          </w:p>
        </w:tc>
        <w:tc>
          <w:tcPr>
            <w:tcW w:w="992" w:type="dxa"/>
            <w:vAlign w:val="center"/>
          </w:tcPr>
          <w:p w:rsidR="00D358AC" w:rsidRPr="00CA6939" w:rsidRDefault="00D358AC" w:rsidP="00374A97">
            <w:pPr>
              <w:keepNext/>
              <w:spacing w:before="60" w:after="60"/>
              <w:ind w:firstLine="0"/>
              <w:jc w:val="left"/>
              <w:rPr>
                <w:sz w:val="18"/>
                <w:szCs w:val="18"/>
                <w:lang w:val="en-US"/>
              </w:rPr>
            </w:pPr>
          </w:p>
        </w:tc>
        <w:tc>
          <w:tcPr>
            <w:tcW w:w="992" w:type="dxa"/>
            <w:vAlign w:val="center"/>
          </w:tcPr>
          <w:p w:rsidR="00D358AC" w:rsidRPr="00CA6939" w:rsidRDefault="00D358AC" w:rsidP="00374A97">
            <w:pPr>
              <w:keepNext/>
              <w:spacing w:before="60" w:after="60"/>
              <w:ind w:firstLine="0"/>
              <w:jc w:val="left"/>
              <w:rPr>
                <w:sz w:val="18"/>
                <w:szCs w:val="18"/>
                <w:lang w:val="en-US"/>
              </w:rPr>
            </w:pPr>
          </w:p>
        </w:tc>
      </w:tr>
      <w:tr w:rsidR="00D358AC" w:rsidRPr="00CA6939" w:rsidTr="00374A97">
        <w:trPr>
          <w:trHeight w:val="125"/>
          <w:jc w:val="center"/>
        </w:trPr>
        <w:tc>
          <w:tcPr>
            <w:tcW w:w="992" w:type="dxa"/>
          </w:tcPr>
          <w:p w:rsidR="00D358AC" w:rsidRPr="00CA6939" w:rsidRDefault="00D358AC" w:rsidP="00374A97">
            <w:pPr>
              <w:pStyle w:val="Els-table-text"/>
              <w:keepNext/>
              <w:spacing w:before="60" w:after="60" w:line="240" w:lineRule="auto"/>
              <w:ind w:left="-57" w:right="-57"/>
              <w:rPr>
                <w:rFonts w:ascii="Cambria" w:hAnsi="Cambria"/>
                <w:sz w:val="18"/>
              </w:rPr>
            </w:pPr>
            <w:r w:rsidRPr="00CA6939">
              <w:rPr>
                <w:rFonts w:ascii="Cambria" w:hAnsi="Cambria"/>
                <w:sz w:val="18"/>
              </w:rPr>
              <w:t xml:space="preserve">ODBI </w:t>
            </w:r>
            <w:r w:rsidRPr="00CA6939">
              <w:rPr>
                <w:rFonts w:ascii="Cambria" w:hAnsi="Cambria"/>
              </w:rPr>
              <w:t>2015</w:t>
            </w:r>
          </w:p>
        </w:tc>
        <w:tc>
          <w:tcPr>
            <w:tcW w:w="992" w:type="dxa"/>
            <w:vAlign w:val="center"/>
          </w:tcPr>
          <w:p w:rsidR="00D358AC" w:rsidRPr="00CA6939" w:rsidRDefault="00D358AC" w:rsidP="00374A97">
            <w:pPr>
              <w:keepNext/>
              <w:spacing w:before="60" w:after="60"/>
              <w:ind w:firstLine="0"/>
              <w:jc w:val="left"/>
              <w:rPr>
                <w:sz w:val="18"/>
                <w:szCs w:val="18"/>
                <w:lang w:val="en-US"/>
              </w:rPr>
            </w:pPr>
            <w:r w:rsidRPr="00CA6939">
              <w:rPr>
                <w:sz w:val="18"/>
                <w:szCs w:val="18"/>
                <w:lang w:val="en-US"/>
              </w:rPr>
              <w:t>0.796</w:t>
            </w:r>
          </w:p>
        </w:tc>
        <w:tc>
          <w:tcPr>
            <w:tcW w:w="992" w:type="dxa"/>
            <w:vAlign w:val="center"/>
          </w:tcPr>
          <w:p w:rsidR="00D358AC" w:rsidRPr="00CA6939" w:rsidRDefault="00D358AC" w:rsidP="00374A97">
            <w:pPr>
              <w:keepNext/>
              <w:spacing w:before="60" w:after="60"/>
              <w:ind w:firstLine="0"/>
              <w:jc w:val="left"/>
              <w:rPr>
                <w:sz w:val="18"/>
                <w:szCs w:val="18"/>
                <w:lang w:val="en-US"/>
              </w:rPr>
            </w:pPr>
            <w:r w:rsidRPr="00CA6939">
              <w:rPr>
                <w:sz w:val="18"/>
                <w:szCs w:val="18"/>
                <w:lang w:val="en-US"/>
              </w:rPr>
              <w:t>0.871</w:t>
            </w:r>
          </w:p>
        </w:tc>
        <w:tc>
          <w:tcPr>
            <w:tcW w:w="992" w:type="dxa"/>
            <w:vAlign w:val="center"/>
          </w:tcPr>
          <w:p w:rsidR="00D358AC" w:rsidRPr="00CA6939" w:rsidRDefault="00D358AC" w:rsidP="00374A97">
            <w:pPr>
              <w:keepNext/>
              <w:spacing w:before="60" w:after="60"/>
              <w:ind w:firstLine="0"/>
              <w:jc w:val="left"/>
              <w:rPr>
                <w:sz w:val="18"/>
                <w:szCs w:val="18"/>
                <w:lang w:val="en-US"/>
              </w:rPr>
            </w:pPr>
            <w:r w:rsidRPr="00CA6939">
              <w:rPr>
                <w:sz w:val="18"/>
                <w:szCs w:val="18"/>
                <w:lang w:val="en-US"/>
              </w:rPr>
              <w:t>0.905</w:t>
            </w:r>
          </w:p>
        </w:tc>
        <w:tc>
          <w:tcPr>
            <w:tcW w:w="992" w:type="dxa"/>
            <w:vAlign w:val="center"/>
          </w:tcPr>
          <w:p w:rsidR="00D358AC" w:rsidRPr="00CA6939" w:rsidRDefault="00D358AC" w:rsidP="00374A97">
            <w:pPr>
              <w:keepNext/>
              <w:spacing w:before="60" w:after="60"/>
              <w:ind w:firstLine="0"/>
              <w:jc w:val="left"/>
              <w:rPr>
                <w:sz w:val="18"/>
                <w:szCs w:val="18"/>
                <w:lang w:val="en-US"/>
              </w:rPr>
            </w:pPr>
            <w:r w:rsidRPr="00CA6939">
              <w:rPr>
                <w:sz w:val="18"/>
                <w:szCs w:val="18"/>
                <w:lang w:val="en-US"/>
              </w:rPr>
              <w:t>1.000</w:t>
            </w:r>
          </w:p>
        </w:tc>
        <w:tc>
          <w:tcPr>
            <w:tcW w:w="992" w:type="dxa"/>
            <w:vAlign w:val="center"/>
          </w:tcPr>
          <w:p w:rsidR="00D358AC" w:rsidRPr="00CA6939" w:rsidRDefault="00D358AC" w:rsidP="00374A97">
            <w:pPr>
              <w:keepNext/>
              <w:spacing w:before="60" w:after="60"/>
              <w:ind w:firstLine="0"/>
              <w:jc w:val="left"/>
              <w:rPr>
                <w:sz w:val="18"/>
                <w:szCs w:val="18"/>
                <w:lang w:val="en-US"/>
              </w:rPr>
            </w:pPr>
          </w:p>
        </w:tc>
        <w:tc>
          <w:tcPr>
            <w:tcW w:w="992" w:type="dxa"/>
            <w:vAlign w:val="center"/>
          </w:tcPr>
          <w:p w:rsidR="00D358AC" w:rsidRPr="00CA6939" w:rsidRDefault="00D358AC" w:rsidP="00374A97">
            <w:pPr>
              <w:keepNext/>
              <w:spacing w:before="60" w:after="60"/>
              <w:ind w:firstLine="0"/>
              <w:jc w:val="left"/>
              <w:rPr>
                <w:sz w:val="18"/>
                <w:szCs w:val="18"/>
                <w:lang w:val="en-US"/>
              </w:rPr>
            </w:pPr>
          </w:p>
        </w:tc>
        <w:tc>
          <w:tcPr>
            <w:tcW w:w="992" w:type="dxa"/>
            <w:vAlign w:val="center"/>
          </w:tcPr>
          <w:p w:rsidR="00D358AC" w:rsidRPr="00CA6939" w:rsidRDefault="00D358AC" w:rsidP="00374A97">
            <w:pPr>
              <w:keepNext/>
              <w:spacing w:before="60" w:after="60"/>
              <w:ind w:firstLine="0"/>
              <w:jc w:val="left"/>
              <w:rPr>
                <w:sz w:val="18"/>
                <w:szCs w:val="18"/>
                <w:lang w:val="en-US"/>
              </w:rPr>
            </w:pPr>
          </w:p>
        </w:tc>
        <w:tc>
          <w:tcPr>
            <w:tcW w:w="992" w:type="dxa"/>
            <w:vAlign w:val="center"/>
          </w:tcPr>
          <w:p w:rsidR="00D358AC" w:rsidRPr="00CA6939" w:rsidRDefault="00D358AC" w:rsidP="00374A97">
            <w:pPr>
              <w:keepNext/>
              <w:spacing w:before="60" w:after="60"/>
              <w:ind w:firstLine="0"/>
              <w:jc w:val="left"/>
              <w:rPr>
                <w:sz w:val="18"/>
                <w:szCs w:val="18"/>
                <w:lang w:val="en-US"/>
              </w:rPr>
            </w:pPr>
          </w:p>
        </w:tc>
      </w:tr>
      <w:tr w:rsidR="00D358AC" w:rsidRPr="00CA6939" w:rsidTr="00374A97">
        <w:trPr>
          <w:trHeight w:val="125"/>
          <w:jc w:val="center"/>
        </w:trPr>
        <w:tc>
          <w:tcPr>
            <w:tcW w:w="992" w:type="dxa"/>
          </w:tcPr>
          <w:p w:rsidR="00D358AC" w:rsidRPr="00CA6939" w:rsidRDefault="00D358AC" w:rsidP="00374A97">
            <w:pPr>
              <w:pStyle w:val="Els-table-text"/>
              <w:keepNext/>
              <w:spacing w:before="60" w:after="60" w:line="240" w:lineRule="auto"/>
              <w:ind w:left="-57" w:right="-57"/>
              <w:rPr>
                <w:rFonts w:ascii="Cambria" w:hAnsi="Cambria"/>
                <w:sz w:val="18"/>
              </w:rPr>
            </w:pPr>
            <w:r w:rsidRPr="00CA6939">
              <w:rPr>
                <w:rFonts w:ascii="Cambria" w:hAnsi="Cambria"/>
                <w:sz w:val="18"/>
              </w:rPr>
              <w:t xml:space="preserve">CPI </w:t>
            </w:r>
            <w:r w:rsidRPr="00CA6939">
              <w:rPr>
                <w:rFonts w:ascii="Cambria" w:hAnsi="Cambria"/>
              </w:rPr>
              <w:t>2013</w:t>
            </w:r>
          </w:p>
        </w:tc>
        <w:tc>
          <w:tcPr>
            <w:tcW w:w="992" w:type="dxa"/>
            <w:vAlign w:val="center"/>
          </w:tcPr>
          <w:p w:rsidR="00D358AC" w:rsidRPr="00CA6939" w:rsidRDefault="00D358AC" w:rsidP="00374A97">
            <w:pPr>
              <w:keepNext/>
              <w:spacing w:before="60" w:after="60"/>
              <w:ind w:firstLine="0"/>
              <w:jc w:val="left"/>
              <w:rPr>
                <w:sz w:val="18"/>
                <w:szCs w:val="18"/>
                <w:lang w:val="en-US"/>
              </w:rPr>
            </w:pPr>
            <w:r w:rsidRPr="00CA6939">
              <w:rPr>
                <w:sz w:val="18"/>
                <w:szCs w:val="18"/>
                <w:lang w:val="en-US"/>
              </w:rPr>
              <w:t>0.679</w:t>
            </w:r>
          </w:p>
        </w:tc>
        <w:tc>
          <w:tcPr>
            <w:tcW w:w="992" w:type="dxa"/>
            <w:vAlign w:val="center"/>
          </w:tcPr>
          <w:p w:rsidR="00D358AC" w:rsidRPr="00CA6939" w:rsidRDefault="00D358AC" w:rsidP="00374A97">
            <w:pPr>
              <w:keepNext/>
              <w:spacing w:before="60" w:after="60"/>
              <w:ind w:firstLine="0"/>
              <w:jc w:val="left"/>
              <w:rPr>
                <w:sz w:val="18"/>
                <w:szCs w:val="18"/>
                <w:lang w:val="en-US"/>
              </w:rPr>
            </w:pPr>
            <w:r w:rsidRPr="00CA6939">
              <w:rPr>
                <w:sz w:val="18"/>
                <w:szCs w:val="18"/>
                <w:lang w:val="en-US"/>
              </w:rPr>
              <w:t>0.648</w:t>
            </w:r>
          </w:p>
        </w:tc>
        <w:tc>
          <w:tcPr>
            <w:tcW w:w="992" w:type="dxa"/>
            <w:vAlign w:val="center"/>
          </w:tcPr>
          <w:p w:rsidR="00D358AC" w:rsidRPr="00CA6939" w:rsidRDefault="00D358AC" w:rsidP="00374A97">
            <w:pPr>
              <w:keepNext/>
              <w:spacing w:before="60" w:after="60"/>
              <w:ind w:firstLine="0"/>
              <w:jc w:val="left"/>
              <w:rPr>
                <w:sz w:val="18"/>
                <w:szCs w:val="18"/>
                <w:lang w:val="en-US"/>
              </w:rPr>
            </w:pPr>
            <w:r w:rsidRPr="00CA6939">
              <w:rPr>
                <w:sz w:val="18"/>
                <w:szCs w:val="18"/>
                <w:lang w:val="en-US"/>
              </w:rPr>
              <w:t>0.707</w:t>
            </w:r>
          </w:p>
        </w:tc>
        <w:tc>
          <w:tcPr>
            <w:tcW w:w="992" w:type="dxa"/>
            <w:vAlign w:val="center"/>
          </w:tcPr>
          <w:p w:rsidR="00D358AC" w:rsidRPr="00CA6939" w:rsidRDefault="00D358AC" w:rsidP="00374A97">
            <w:pPr>
              <w:keepNext/>
              <w:spacing w:before="60" w:after="60"/>
              <w:ind w:firstLine="0"/>
              <w:jc w:val="left"/>
              <w:rPr>
                <w:sz w:val="18"/>
                <w:szCs w:val="18"/>
                <w:lang w:val="en-US"/>
              </w:rPr>
            </w:pPr>
            <w:r w:rsidRPr="00CA6939">
              <w:rPr>
                <w:sz w:val="18"/>
                <w:szCs w:val="18"/>
                <w:lang w:val="en-US"/>
              </w:rPr>
              <w:t>0.735</w:t>
            </w:r>
          </w:p>
        </w:tc>
        <w:tc>
          <w:tcPr>
            <w:tcW w:w="992" w:type="dxa"/>
            <w:vAlign w:val="center"/>
          </w:tcPr>
          <w:p w:rsidR="00D358AC" w:rsidRPr="00CA6939" w:rsidRDefault="00D358AC" w:rsidP="00374A97">
            <w:pPr>
              <w:keepNext/>
              <w:spacing w:before="60" w:after="60"/>
              <w:ind w:firstLine="0"/>
              <w:jc w:val="left"/>
              <w:rPr>
                <w:sz w:val="18"/>
                <w:szCs w:val="18"/>
                <w:lang w:val="en-US"/>
              </w:rPr>
            </w:pPr>
            <w:r w:rsidRPr="00CA6939">
              <w:rPr>
                <w:sz w:val="18"/>
                <w:szCs w:val="18"/>
                <w:lang w:val="en-US"/>
              </w:rPr>
              <w:t>1.000</w:t>
            </w:r>
          </w:p>
        </w:tc>
        <w:tc>
          <w:tcPr>
            <w:tcW w:w="992" w:type="dxa"/>
            <w:vAlign w:val="center"/>
          </w:tcPr>
          <w:p w:rsidR="00D358AC" w:rsidRPr="00CA6939" w:rsidRDefault="00D358AC" w:rsidP="00374A97">
            <w:pPr>
              <w:keepNext/>
              <w:spacing w:before="60" w:after="60"/>
              <w:ind w:firstLine="0"/>
              <w:jc w:val="left"/>
              <w:rPr>
                <w:sz w:val="18"/>
                <w:szCs w:val="18"/>
                <w:lang w:val="en-US"/>
              </w:rPr>
            </w:pPr>
          </w:p>
        </w:tc>
        <w:tc>
          <w:tcPr>
            <w:tcW w:w="992" w:type="dxa"/>
            <w:vAlign w:val="center"/>
          </w:tcPr>
          <w:p w:rsidR="00D358AC" w:rsidRPr="00CA6939" w:rsidRDefault="00D358AC" w:rsidP="00374A97">
            <w:pPr>
              <w:keepNext/>
              <w:spacing w:before="60" w:after="60"/>
              <w:ind w:firstLine="0"/>
              <w:jc w:val="left"/>
              <w:rPr>
                <w:sz w:val="18"/>
                <w:szCs w:val="18"/>
                <w:lang w:val="en-US"/>
              </w:rPr>
            </w:pPr>
          </w:p>
        </w:tc>
        <w:tc>
          <w:tcPr>
            <w:tcW w:w="992" w:type="dxa"/>
            <w:vAlign w:val="center"/>
          </w:tcPr>
          <w:p w:rsidR="00D358AC" w:rsidRPr="00CA6939" w:rsidRDefault="00D358AC" w:rsidP="00374A97">
            <w:pPr>
              <w:keepNext/>
              <w:spacing w:before="60" w:after="60"/>
              <w:ind w:firstLine="0"/>
              <w:jc w:val="left"/>
              <w:rPr>
                <w:sz w:val="18"/>
                <w:szCs w:val="18"/>
                <w:lang w:val="en-US"/>
              </w:rPr>
            </w:pPr>
          </w:p>
        </w:tc>
      </w:tr>
      <w:tr w:rsidR="00D358AC" w:rsidRPr="00CA6939" w:rsidTr="00374A97">
        <w:trPr>
          <w:trHeight w:val="125"/>
          <w:jc w:val="center"/>
        </w:trPr>
        <w:tc>
          <w:tcPr>
            <w:tcW w:w="992" w:type="dxa"/>
          </w:tcPr>
          <w:p w:rsidR="00D358AC" w:rsidRPr="00CA6939" w:rsidRDefault="00D358AC" w:rsidP="00374A97">
            <w:pPr>
              <w:pStyle w:val="Els-table-text"/>
              <w:keepNext/>
              <w:spacing w:before="60" w:after="60" w:line="240" w:lineRule="auto"/>
              <w:ind w:left="-57" w:right="-57"/>
              <w:rPr>
                <w:rFonts w:ascii="Cambria" w:hAnsi="Cambria"/>
                <w:sz w:val="18"/>
              </w:rPr>
            </w:pPr>
            <w:r w:rsidRPr="00CA6939">
              <w:rPr>
                <w:rFonts w:ascii="Cambria" w:hAnsi="Cambria"/>
                <w:sz w:val="18"/>
              </w:rPr>
              <w:t xml:space="preserve">CPI </w:t>
            </w:r>
            <w:r w:rsidRPr="00CA6939">
              <w:rPr>
                <w:rFonts w:ascii="Cambria" w:hAnsi="Cambria"/>
              </w:rPr>
              <w:t>2015</w:t>
            </w:r>
          </w:p>
        </w:tc>
        <w:tc>
          <w:tcPr>
            <w:tcW w:w="992" w:type="dxa"/>
            <w:vAlign w:val="center"/>
          </w:tcPr>
          <w:p w:rsidR="00D358AC" w:rsidRPr="00CA6939" w:rsidRDefault="00D358AC" w:rsidP="00374A97">
            <w:pPr>
              <w:keepNext/>
              <w:spacing w:before="60" w:after="60"/>
              <w:ind w:firstLine="0"/>
              <w:jc w:val="left"/>
              <w:rPr>
                <w:sz w:val="18"/>
                <w:szCs w:val="18"/>
                <w:lang w:val="en-US"/>
              </w:rPr>
            </w:pPr>
            <w:r w:rsidRPr="00CA6939">
              <w:rPr>
                <w:sz w:val="18"/>
                <w:szCs w:val="18"/>
                <w:lang w:val="en-US"/>
              </w:rPr>
              <w:t>0.680</w:t>
            </w:r>
          </w:p>
        </w:tc>
        <w:tc>
          <w:tcPr>
            <w:tcW w:w="992" w:type="dxa"/>
            <w:vAlign w:val="center"/>
          </w:tcPr>
          <w:p w:rsidR="00D358AC" w:rsidRPr="00CA6939" w:rsidRDefault="00D358AC" w:rsidP="00374A97">
            <w:pPr>
              <w:keepNext/>
              <w:spacing w:before="60" w:after="60"/>
              <w:ind w:firstLine="0"/>
              <w:jc w:val="left"/>
              <w:rPr>
                <w:sz w:val="18"/>
                <w:szCs w:val="18"/>
                <w:lang w:val="en-US"/>
              </w:rPr>
            </w:pPr>
            <w:r w:rsidRPr="00CA6939">
              <w:rPr>
                <w:sz w:val="18"/>
                <w:szCs w:val="18"/>
                <w:lang w:val="en-US"/>
              </w:rPr>
              <w:t>0.649</w:t>
            </w:r>
          </w:p>
        </w:tc>
        <w:tc>
          <w:tcPr>
            <w:tcW w:w="992" w:type="dxa"/>
            <w:vAlign w:val="center"/>
          </w:tcPr>
          <w:p w:rsidR="00D358AC" w:rsidRPr="00CA6939" w:rsidRDefault="00D358AC" w:rsidP="00374A97">
            <w:pPr>
              <w:keepNext/>
              <w:spacing w:before="60" w:after="60"/>
              <w:ind w:firstLine="0"/>
              <w:jc w:val="left"/>
              <w:rPr>
                <w:sz w:val="18"/>
                <w:szCs w:val="18"/>
                <w:lang w:val="en-US"/>
              </w:rPr>
            </w:pPr>
            <w:r w:rsidRPr="00CA6939">
              <w:rPr>
                <w:sz w:val="18"/>
                <w:szCs w:val="18"/>
                <w:lang w:val="en-US"/>
              </w:rPr>
              <w:t>0.705</w:t>
            </w:r>
          </w:p>
        </w:tc>
        <w:tc>
          <w:tcPr>
            <w:tcW w:w="992" w:type="dxa"/>
            <w:vAlign w:val="center"/>
          </w:tcPr>
          <w:p w:rsidR="00D358AC" w:rsidRPr="00CA6939" w:rsidRDefault="00D358AC" w:rsidP="00374A97">
            <w:pPr>
              <w:keepNext/>
              <w:spacing w:before="60" w:after="60"/>
              <w:ind w:firstLine="0"/>
              <w:jc w:val="left"/>
              <w:rPr>
                <w:sz w:val="18"/>
                <w:szCs w:val="18"/>
                <w:lang w:val="en-US"/>
              </w:rPr>
            </w:pPr>
            <w:r w:rsidRPr="00CA6939">
              <w:rPr>
                <w:sz w:val="18"/>
                <w:szCs w:val="18"/>
                <w:lang w:val="en-US"/>
              </w:rPr>
              <w:t>0.735</w:t>
            </w:r>
          </w:p>
        </w:tc>
        <w:tc>
          <w:tcPr>
            <w:tcW w:w="992" w:type="dxa"/>
            <w:vAlign w:val="center"/>
          </w:tcPr>
          <w:p w:rsidR="00D358AC" w:rsidRPr="00CA6939" w:rsidRDefault="00D358AC" w:rsidP="00374A97">
            <w:pPr>
              <w:keepNext/>
              <w:spacing w:before="60" w:after="60"/>
              <w:ind w:firstLine="0"/>
              <w:jc w:val="left"/>
              <w:rPr>
                <w:sz w:val="18"/>
                <w:szCs w:val="18"/>
                <w:lang w:val="en-US"/>
              </w:rPr>
            </w:pPr>
            <w:r w:rsidRPr="00CA6939">
              <w:rPr>
                <w:sz w:val="18"/>
                <w:szCs w:val="18"/>
                <w:lang w:val="en-US"/>
              </w:rPr>
              <w:t>0.992</w:t>
            </w:r>
          </w:p>
        </w:tc>
        <w:tc>
          <w:tcPr>
            <w:tcW w:w="992" w:type="dxa"/>
            <w:vAlign w:val="center"/>
          </w:tcPr>
          <w:p w:rsidR="00D358AC" w:rsidRPr="00CA6939" w:rsidRDefault="00D358AC" w:rsidP="00374A97">
            <w:pPr>
              <w:keepNext/>
              <w:spacing w:before="60" w:after="60"/>
              <w:ind w:firstLine="0"/>
              <w:jc w:val="left"/>
              <w:rPr>
                <w:sz w:val="18"/>
                <w:szCs w:val="18"/>
                <w:lang w:val="en-US"/>
              </w:rPr>
            </w:pPr>
            <w:r w:rsidRPr="00CA6939">
              <w:rPr>
                <w:sz w:val="18"/>
                <w:szCs w:val="18"/>
                <w:lang w:val="en-US"/>
              </w:rPr>
              <w:t>1.000</w:t>
            </w:r>
          </w:p>
        </w:tc>
        <w:tc>
          <w:tcPr>
            <w:tcW w:w="992" w:type="dxa"/>
            <w:vAlign w:val="center"/>
          </w:tcPr>
          <w:p w:rsidR="00D358AC" w:rsidRPr="00CA6939" w:rsidRDefault="00D358AC" w:rsidP="00374A97">
            <w:pPr>
              <w:keepNext/>
              <w:spacing w:before="60" w:after="60"/>
              <w:ind w:firstLine="0"/>
              <w:jc w:val="left"/>
              <w:rPr>
                <w:sz w:val="18"/>
                <w:szCs w:val="18"/>
                <w:lang w:val="en-US"/>
              </w:rPr>
            </w:pPr>
          </w:p>
        </w:tc>
        <w:tc>
          <w:tcPr>
            <w:tcW w:w="992" w:type="dxa"/>
            <w:vAlign w:val="center"/>
          </w:tcPr>
          <w:p w:rsidR="00D358AC" w:rsidRPr="00CA6939" w:rsidRDefault="00D358AC" w:rsidP="00374A97">
            <w:pPr>
              <w:keepNext/>
              <w:spacing w:before="60" w:after="60"/>
              <w:ind w:firstLine="0"/>
              <w:jc w:val="left"/>
              <w:rPr>
                <w:sz w:val="18"/>
                <w:szCs w:val="18"/>
                <w:lang w:val="en-US"/>
              </w:rPr>
            </w:pPr>
          </w:p>
        </w:tc>
      </w:tr>
      <w:tr w:rsidR="00D358AC" w:rsidRPr="00CA6939" w:rsidTr="00374A97">
        <w:trPr>
          <w:trHeight w:val="125"/>
          <w:jc w:val="center"/>
        </w:trPr>
        <w:tc>
          <w:tcPr>
            <w:tcW w:w="992" w:type="dxa"/>
          </w:tcPr>
          <w:p w:rsidR="00D358AC" w:rsidRPr="00CA6939" w:rsidRDefault="00D358AC" w:rsidP="00374A97">
            <w:pPr>
              <w:pStyle w:val="Els-table-text"/>
              <w:keepNext/>
              <w:spacing w:before="60" w:after="60" w:line="240" w:lineRule="auto"/>
              <w:ind w:left="-57" w:right="-57"/>
              <w:rPr>
                <w:rFonts w:ascii="Cambria" w:hAnsi="Cambria"/>
                <w:sz w:val="18"/>
              </w:rPr>
            </w:pPr>
            <w:r w:rsidRPr="00CA6939">
              <w:rPr>
                <w:rFonts w:ascii="Cambria" w:hAnsi="Cambria"/>
                <w:sz w:val="18"/>
              </w:rPr>
              <w:t xml:space="preserve">CCI </w:t>
            </w:r>
            <w:r w:rsidRPr="00CA6939">
              <w:rPr>
                <w:rFonts w:ascii="Cambria" w:hAnsi="Cambria"/>
              </w:rPr>
              <w:t>2013</w:t>
            </w:r>
          </w:p>
        </w:tc>
        <w:tc>
          <w:tcPr>
            <w:tcW w:w="992" w:type="dxa"/>
            <w:vAlign w:val="center"/>
          </w:tcPr>
          <w:p w:rsidR="00D358AC" w:rsidRPr="00CA6939" w:rsidRDefault="00D358AC" w:rsidP="00374A97">
            <w:pPr>
              <w:keepNext/>
              <w:spacing w:before="60" w:after="60"/>
              <w:ind w:firstLine="0"/>
              <w:jc w:val="left"/>
              <w:rPr>
                <w:sz w:val="18"/>
                <w:szCs w:val="18"/>
                <w:lang w:val="en-US"/>
              </w:rPr>
            </w:pPr>
            <w:r w:rsidRPr="00CA6939">
              <w:rPr>
                <w:sz w:val="18"/>
                <w:szCs w:val="18"/>
                <w:lang w:val="en-US"/>
              </w:rPr>
              <w:t>0.676</w:t>
            </w:r>
          </w:p>
        </w:tc>
        <w:tc>
          <w:tcPr>
            <w:tcW w:w="992" w:type="dxa"/>
            <w:vAlign w:val="center"/>
          </w:tcPr>
          <w:p w:rsidR="00D358AC" w:rsidRPr="00CA6939" w:rsidRDefault="00D358AC" w:rsidP="00374A97">
            <w:pPr>
              <w:keepNext/>
              <w:spacing w:before="60" w:after="60"/>
              <w:ind w:firstLine="0"/>
              <w:jc w:val="left"/>
              <w:rPr>
                <w:sz w:val="18"/>
                <w:szCs w:val="18"/>
                <w:lang w:val="en-US"/>
              </w:rPr>
            </w:pPr>
            <w:r w:rsidRPr="00CA6939">
              <w:rPr>
                <w:sz w:val="18"/>
                <w:szCs w:val="18"/>
                <w:lang w:val="en-US"/>
              </w:rPr>
              <w:t>0.666</w:t>
            </w:r>
          </w:p>
        </w:tc>
        <w:tc>
          <w:tcPr>
            <w:tcW w:w="992" w:type="dxa"/>
            <w:vAlign w:val="center"/>
          </w:tcPr>
          <w:p w:rsidR="00D358AC" w:rsidRPr="00CA6939" w:rsidRDefault="00D358AC" w:rsidP="00374A97">
            <w:pPr>
              <w:keepNext/>
              <w:spacing w:before="60" w:after="60"/>
              <w:ind w:firstLine="0"/>
              <w:jc w:val="left"/>
              <w:rPr>
                <w:sz w:val="18"/>
                <w:szCs w:val="18"/>
                <w:lang w:val="en-US"/>
              </w:rPr>
            </w:pPr>
            <w:r w:rsidRPr="00CA6939">
              <w:rPr>
                <w:sz w:val="18"/>
                <w:szCs w:val="18"/>
                <w:lang w:val="en-US"/>
              </w:rPr>
              <w:t>0.712</w:t>
            </w:r>
          </w:p>
        </w:tc>
        <w:tc>
          <w:tcPr>
            <w:tcW w:w="992" w:type="dxa"/>
            <w:vAlign w:val="center"/>
          </w:tcPr>
          <w:p w:rsidR="00D358AC" w:rsidRPr="00CA6939" w:rsidRDefault="00D358AC" w:rsidP="00374A97">
            <w:pPr>
              <w:keepNext/>
              <w:spacing w:before="60" w:after="60"/>
              <w:ind w:firstLine="0"/>
              <w:jc w:val="left"/>
              <w:rPr>
                <w:sz w:val="18"/>
                <w:szCs w:val="18"/>
                <w:lang w:val="en-US"/>
              </w:rPr>
            </w:pPr>
            <w:r w:rsidRPr="00CA6939">
              <w:rPr>
                <w:sz w:val="18"/>
                <w:szCs w:val="18"/>
                <w:lang w:val="en-US"/>
              </w:rPr>
              <w:t>0.752</w:t>
            </w:r>
          </w:p>
        </w:tc>
        <w:tc>
          <w:tcPr>
            <w:tcW w:w="992" w:type="dxa"/>
            <w:vAlign w:val="center"/>
          </w:tcPr>
          <w:p w:rsidR="00D358AC" w:rsidRPr="00CA6939" w:rsidRDefault="00D358AC" w:rsidP="00374A97">
            <w:pPr>
              <w:keepNext/>
              <w:spacing w:before="60" w:after="60"/>
              <w:ind w:firstLine="0"/>
              <w:jc w:val="left"/>
              <w:rPr>
                <w:sz w:val="18"/>
                <w:szCs w:val="18"/>
                <w:lang w:val="en-US"/>
              </w:rPr>
            </w:pPr>
            <w:r w:rsidRPr="00CA6939">
              <w:rPr>
                <w:sz w:val="18"/>
                <w:szCs w:val="18"/>
                <w:lang w:val="en-US"/>
              </w:rPr>
              <w:t>0.996</w:t>
            </w:r>
          </w:p>
        </w:tc>
        <w:tc>
          <w:tcPr>
            <w:tcW w:w="992" w:type="dxa"/>
            <w:vAlign w:val="center"/>
          </w:tcPr>
          <w:p w:rsidR="00D358AC" w:rsidRPr="00CA6939" w:rsidRDefault="00D358AC" w:rsidP="00374A97">
            <w:pPr>
              <w:keepNext/>
              <w:spacing w:before="60" w:after="60"/>
              <w:ind w:firstLine="0"/>
              <w:jc w:val="left"/>
              <w:rPr>
                <w:sz w:val="18"/>
                <w:szCs w:val="18"/>
                <w:lang w:val="en-US"/>
              </w:rPr>
            </w:pPr>
            <w:r w:rsidRPr="00CA6939">
              <w:rPr>
                <w:sz w:val="18"/>
                <w:szCs w:val="18"/>
                <w:lang w:val="en-US"/>
              </w:rPr>
              <w:t>0.989</w:t>
            </w:r>
          </w:p>
        </w:tc>
        <w:tc>
          <w:tcPr>
            <w:tcW w:w="992" w:type="dxa"/>
            <w:vAlign w:val="center"/>
          </w:tcPr>
          <w:p w:rsidR="00D358AC" w:rsidRPr="00CA6939" w:rsidRDefault="00D358AC" w:rsidP="00374A97">
            <w:pPr>
              <w:keepNext/>
              <w:spacing w:before="60" w:after="60"/>
              <w:ind w:firstLine="0"/>
              <w:jc w:val="left"/>
              <w:rPr>
                <w:sz w:val="18"/>
                <w:szCs w:val="18"/>
                <w:lang w:val="en-US"/>
              </w:rPr>
            </w:pPr>
            <w:r w:rsidRPr="00CA6939">
              <w:rPr>
                <w:sz w:val="18"/>
                <w:szCs w:val="18"/>
                <w:lang w:val="en-US"/>
              </w:rPr>
              <w:t>1.000</w:t>
            </w:r>
          </w:p>
        </w:tc>
        <w:tc>
          <w:tcPr>
            <w:tcW w:w="992" w:type="dxa"/>
            <w:vAlign w:val="center"/>
          </w:tcPr>
          <w:p w:rsidR="00D358AC" w:rsidRPr="00CA6939" w:rsidRDefault="00D358AC" w:rsidP="00374A97">
            <w:pPr>
              <w:keepNext/>
              <w:spacing w:before="60" w:after="60"/>
              <w:ind w:firstLine="0"/>
              <w:jc w:val="left"/>
              <w:rPr>
                <w:sz w:val="18"/>
                <w:szCs w:val="18"/>
                <w:lang w:val="en-US"/>
              </w:rPr>
            </w:pPr>
          </w:p>
        </w:tc>
      </w:tr>
      <w:tr w:rsidR="00D358AC" w:rsidRPr="00CA6939" w:rsidTr="00374A97">
        <w:trPr>
          <w:trHeight w:val="125"/>
          <w:jc w:val="center"/>
        </w:trPr>
        <w:tc>
          <w:tcPr>
            <w:tcW w:w="992" w:type="dxa"/>
            <w:tcBorders>
              <w:bottom w:val="single" w:sz="4" w:space="0" w:color="auto"/>
            </w:tcBorders>
          </w:tcPr>
          <w:p w:rsidR="00D358AC" w:rsidRPr="00CA6939" w:rsidRDefault="00D358AC" w:rsidP="00374A97">
            <w:pPr>
              <w:pStyle w:val="Els-table-text"/>
              <w:keepNext/>
              <w:spacing w:before="60" w:after="60" w:line="240" w:lineRule="auto"/>
              <w:ind w:left="-57" w:right="-57"/>
              <w:rPr>
                <w:rFonts w:ascii="Cambria" w:hAnsi="Cambria"/>
                <w:sz w:val="18"/>
              </w:rPr>
            </w:pPr>
            <w:r w:rsidRPr="00CA6939">
              <w:rPr>
                <w:rFonts w:ascii="Cambria" w:hAnsi="Cambria"/>
                <w:sz w:val="18"/>
              </w:rPr>
              <w:t xml:space="preserve">CCI </w:t>
            </w:r>
            <w:r w:rsidRPr="00CA6939">
              <w:rPr>
                <w:rFonts w:ascii="Cambria" w:hAnsi="Cambria"/>
              </w:rPr>
              <w:t>2015</w:t>
            </w:r>
          </w:p>
        </w:tc>
        <w:tc>
          <w:tcPr>
            <w:tcW w:w="992" w:type="dxa"/>
            <w:tcBorders>
              <w:bottom w:val="single" w:sz="4" w:space="0" w:color="auto"/>
            </w:tcBorders>
            <w:vAlign w:val="center"/>
          </w:tcPr>
          <w:p w:rsidR="00D358AC" w:rsidRPr="00CA6939" w:rsidRDefault="00D358AC" w:rsidP="00374A97">
            <w:pPr>
              <w:keepNext/>
              <w:spacing w:before="60" w:after="60"/>
              <w:ind w:firstLine="0"/>
              <w:jc w:val="left"/>
              <w:rPr>
                <w:sz w:val="18"/>
                <w:szCs w:val="18"/>
                <w:lang w:val="en-US"/>
              </w:rPr>
            </w:pPr>
            <w:r w:rsidRPr="00CA6939">
              <w:rPr>
                <w:sz w:val="18"/>
                <w:szCs w:val="18"/>
                <w:lang w:val="en-US"/>
              </w:rPr>
              <w:t>0.645</w:t>
            </w:r>
          </w:p>
        </w:tc>
        <w:tc>
          <w:tcPr>
            <w:tcW w:w="992" w:type="dxa"/>
            <w:tcBorders>
              <w:bottom w:val="single" w:sz="4" w:space="0" w:color="auto"/>
            </w:tcBorders>
            <w:vAlign w:val="center"/>
          </w:tcPr>
          <w:p w:rsidR="00D358AC" w:rsidRPr="00CA6939" w:rsidRDefault="00D358AC" w:rsidP="00374A97">
            <w:pPr>
              <w:keepNext/>
              <w:spacing w:before="60" w:after="60"/>
              <w:ind w:firstLine="0"/>
              <w:jc w:val="left"/>
              <w:rPr>
                <w:sz w:val="18"/>
                <w:szCs w:val="18"/>
                <w:lang w:val="en-US"/>
              </w:rPr>
            </w:pPr>
            <w:r w:rsidRPr="00CA6939">
              <w:rPr>
                <w:sz w:val="18"/>
                <w:szCs w:val="18"/>
                <w:lang w:val="en-US"/>
              </w:rPr>
              <w:t>0.622</w:t>
            </w:r>
          </w:p>
        </w:tc>
        <w:tc>
          <w:tcPr>
            <w:tcW w:w="992" w:type="dxa"/>
            <w:tcBorders>
              <w:bottom w:val="single" w:sz="4" w:space="0" w:color="auto"/>
            </w:tcBorders>
            <w:vAlign w:val="center"/>
          </w:tcPr>
          <w:p w:rsidR="00D358AC" w:rsidRPr="00CA6939" w:rsidRDefault="00D358AC" w:rsidP="00374A97">
            <w:pPr>
              <w:keepNext/>
              <w:spacing w:before="60" w:after="60"/>
              <w:ind w:firstLine="0"/>
              <w:jc w:val="left"/>
              <w:rPr>
                <w:sz w:val="18"/>
                <w:szCs w:val="18"/>
                <w:lang w:val="en-US"/>
              </w:rPr>
            </w:pPr>
            <w:r w:rsidRPr="00CA6939">
              <w:rPr>
                <w:sz w:val="18"/>
                <w:szCs w:val="18"/>
                <w:lang w:val="en-US"/>
              </w:rPr>
              <w:t>0.686</w:t>
            </w:r>
          </w:p>
        </w:tc>
        <w:tc>
          <w:tcPr>
            <w:tcW w:w="992" w:type="dxa"/>
            <w:tcBorders>
              <w:bottom w:val="single" w:sz="4" w:space="0" w:color="auto"/>
            </w:tcBorders>
            <w:vAlign w:val="center"/>
          </w:tcPr>
          <w:p w:rsidR="00D358AC" w:rsidRPr="00CA6939" w:rsidRDefault="00D358AC" w:rsidP="00374A97">
            <w:pPr>
              <w:keepNext/>
              <w:spacing w:before="60" w:after="60"/>
              <w:ind w:firstLine="0"/>
              <w:jc w:val="left"/>
              <w:rPr>
                <w:sz w:val="18"/>
                <w:szCs w:val="18"/>
                <w:lang w:val="en-US"/>
              </w:rPr>
            </w:pPr>
            <w:r w:rsidRPr="00CA6939">
              <w:rPr>
                <w:sz w:val="18"/>
                <w:szCs w:val="18"/>
                <w:lang w:val="en-US"/>
              </w:rPr>
              <w:t>0.704</w:t>
            </w:r>
          </w:p>
        </w:tc>
        <w:tc>
          <w:tcPr>
            <w:tcW w:w="992" w:type="dxa"/>
            <w:tcBorders>
              <w:bottom w:val="single" w:sz="4" w:space="0" w:color="auto"/>
            </w:tcBorders>
            <w:vAlign w:val="center"/>
          </w:tcPr>
          <w:p w:rsidR="00D358AC" w:rsidRPr="00CA6939" w:rsidRDefault="00D358AC" w:rsidP="00374A97">
            <w:pPr>
              <w:keepNext/>
              <w:spacing w:before="60" w:after="60"/>
              <w:ind w:firstLine="0"/>
              <w:jc w:val="left"/>
              <w:rPr>
                <w:sz w:val="18"/>
                <w:szCs w:val="18"/>
                <w:lang w:val="en-US"/>
              </w:rPr>
            </w:pPr>
            <w:r w:rsidRPr="00CA6939">
              <w:rPr>
                <w:sz w:val="18"/>
                <w:szCs w:val="18"/>
                <w:lang w:val="en-US"/>
              </w:rPr>
              <w:t>0.992</w:t>
            </w:r>
          </w:p>
        </w:tc>
        <w:tc>
          <w:tcPr>
            <w:tcW w:w="992" w:type="dxa"/>
            <w:tcBorders>
              <w:bottom w:val="single" w:sz="4" w:space="0" w:color="auto"/>
            </w:tcBorders>
            <w:vAlign w:val="center"/>
          </w:tcPr>
          <w:p w:rsidR="00D358AC" w:rsidRPr="00CA6939" w:rsidRDefault="00D358AC" w:rsidP="00374A97">
            <w:pPr>
              <w:keepNext/>
              <w:spacing w:before="60" w:after="60"/>
              <w:ind w:firstLine="0"/>
              <w:jc w:val="left"/>
              <w:rPr>
                <w:sz w:val="18"/>
                <w:szCs w:val="18"/>
                <w:lang w:val="en-US"/>
              </w:rPr>
            </w:pPr>
            <w:r w:rsidRPr="00CA6939">
              <w:rPr>
                <w:sz w:val="18"/>
                <w:szCs w:val="18"/>
                <w:lang w:val="en-US"/>
              </w:rPr>
              <w:t>0.991</w:t>
            </w:r>
          </w:p>
        </w:tc>
        <w:tc>
          <w:tcPr>
            <w:tcW w:w="992" w:type="dxa"/>
            <w:tcBorders>
              <w:bottom w:val="single" w:sz="4" w:space="0" w:color="auto"/>
            </w:tcBorders>
            <w:vAlign w:val="center"/>
          </w:tcPr>
          <w:p w:rsidR="00D358AC" w:rsidRPr="00CA6939" w:rsidRDefault="00D358AC" w:rsidP="00374A97">
            <w:pPr>
              <w:keepNext/>
              <w:spacing w:before="60" w:after="60"/>
              <w:ind w:firstLine="0"/>
              <w:jc w:val="left"/>
              <w:rPr>
                <w:sz w:val="18"/>
                <w:szCs w:val="18"/>
                <w:lang w:val="en-US"/>
              </w:rPr>
            </w:pPr>
            <w:r w:rsidRPr="00CA6939">
              <w:rPr>
                <w:sz w:val="18"/>
                <w:szCs w:val="18"/>
                <w:lang w:val="en-US"/>
              </w:rPr>
              <w:t>0.991</w:t>
            </w:r>
          </w:p>
        </w:tc>
        <w:tc>
          <w:tcPr>
            <w:tcW w:w="992" w:type="dxa"/>
            <w:tcBorders>
              <w:bottom w:val="single" w:sz="4" w:space="0" w:color="auto"/>
            </w:tcBorders>
            <w:vAlign w:val="center"/>
          </w:tcPr>
          <w:p w:rsidR="00D358AC" w:rsidRPr="00CA6939" w:rsidRDefault="00D358AC" w:rsidP="00374A97">
            <w:pPr>
              <w:keepNext/>
              <w:spacing w:before="60" w:after="60"/>
              <w:ind w:firstLine="0"/>
              <w:jc w:val="left"/>
              <w:rPr>
                <w:sz w:val="18"/>
                <w:szCs w:val="18"/>
                <w:lang w:val="en-US"/>
              </w:rPr>
            </w:pPr>
            <w:r w:rsidRPr="00CA6939">
              <w:rPr>
                <w:sz w:val="18"/>
                <w:szCs w:val="18"/>
                <w:lang w:val="en-US"/>
              </w:rPr>
              <w:t>1.000</w:t>
            </w:r>
          </w:p>
        </w:tc>
      </w:tr>
    </w:tbl>
    <w:p w:rsidR="00211B14" w:rsidRPr="00CA6939" w:rsidRDefault="00211B14" w:rsidP="00211B14">
      <w:pPr>
        <w:rPr>
          <w:lang w:val="en-US"/>
        </w:rPr>
      </w:pPr>
    </w:p>
    <w:p w:rsidR="00211B14" w:rsidRPr="00CA6939" w:rsidRDefault="00C57C9E" w:rsidP="00980527">
      <w:pPr>
        <w:pStyle w:val="Els-caption"/>
        <w:keepNext/>
        <w:spacing w:before="120" w:after="120"/>
        <w:jc w:val="center"/>
        <w:rPr>
          <w:rFonts w:ascii="Cambria" w:hAnsi="Cambria"/>
          <w:b/>
          <w:sz w:val="18"/>
        </w:rPr>
      </w:pPr>
      <w:r w:rsidRPr="00CA6939">
        <w:rPr>
          <w:rFonts w:ascii="Cambria" w:hAnsi="Cambria"/>
          <w:b/>
          <w:sz w:val="18"/>
        </w:rPr>
        <w:t>Table 3</w:t>
      </w:r>
      <w:r w:rsidR="00211B14" w:rsidRPr="00CA6939">
        <w:rPr>
          <w:rFonts w:ascii="Cambria" w:hAnsi="Cambria"/>
          <w:b/>
          <w:sz w:val="18"/>
        </w:rPr>
        <w:t>. Spearman rank order correlations (Source: Author)</w:t>
      </w:r>
    </w:p>
    <w:tbl>
      <w:tblPr>
        <w:tblW w:w="8928" w:type="dxa"/>
        <w:jc w:val="center"/>
        <w:tblLook w:val="01E0" w:firstRow="1" w:lastRow="1" w:firstColumn="1" w:lastColumn="1" w:noHBand="0" w:noVBand="0"/>
      </w:tblPr>
      <w:tblGrid>
        <w:gridCol w:w="992"/>
        <w:gridCol w:w="992"/>
        <w:gridCol w:w="992"/>
        <w:gridCol w:w="992"/>
        <w:gridCol w:w="992"/>
        <w:gridCol w:w="992"/>
        <w:gridCol w:w="992"/>
        <w:gridCol w:w="992"/>
        <w:gridCol w:w="992"/>
      </w:tblGrid>
      <w:tr w:rsidR="00211B14" w:rsidRPr="00CA6939" w:rsidTr="003365C9">
        <w:trPr>
          <w:trHeight w:val="132"/>
          <w:jc w:val="center"/>
        </w:trPr>
        <w:tc>
          <w:tcPr>
            <w:tcW w:w="992" w:type="dxa"/>
            <w:tcBorders>
              <w:top w:val="single" w:sz="4" w:space="0" w:color="auto"/>
              <w:bottom w:val="single" w:sz="4" w:space="0" w:color="auto"/>
            </w:tcBorders>
            <w:shd w:val="clear" w:color="auto" w:fill="D9D9D9"/>
          </w:tcPr>
          <w:p w:rsidR="00211B14" w:rsidRPr="00CA6939" w:rsidRDefault="00211B14" w:rsidP="00374A97">
            <w:pPr>
              <w:pStyle w:val="Els-table-text"/>
              <w:keepNext/>
              <w:spacing w:before="60" w:after="60" w:line="240" w:lineRule="auto"/>
              <w:ind w:left="-57" w:right="-57"/>
              <w:rPr>
                <w:rFonts w:ascii="Cambria" w:hAnsi="Cambria"/>
                <w:b/>
                <w:sz w:val="18"/>
              </w:rPr>
            </w:pPr>
          </w:p>
        </w:tc>
        <w:tc>
          <w:tcPr>
            <w:tcW w:w="992" w:type="dxa"/>
            <w:tcBorders>
              <w:top w:val="single" w:sz="4" w:space="0" w:color="auto"/>
              <w:bottom w:val="single" w:sz="4" w:space="0" w:color="auto"/>
            </w:tcBorders>
            <w:shd w:val="clear" w:color="auto" w:fill="D9D9D9"/>
          </w:tcPr>
          <w:p w:rsidR="00211B14" w:rsidRPr="00CA6939" w:rsidRDefault="00211B14" w:rsidP="00374A97">
            <w:pPr>
              <w:pStyle w:val="Els-table-text"/>
              <w:keepNext/>
              <w:spacing w:before="60" w:after="60" w:line="240" w:lineRule="auto"/>
              <w:ind w:left="-57" w:right="-57"/>
              <w:rPr>
                <w:rFonts w:ascii="Cambria" w:hAnsi="Cambria"/>
                <w:b/>
                <w:sz w:val="18"/>
              </w:rPr>
            </w:pPr>
            <w:r w:rsidRPr="00CA6939">
              <w:rPr>
                <w:rFonts w:ascii="Cambria" w:hAnsi="Cambria"/>
                <w:b/>
                <w:sz w:val="18"/>
              </w:rPr>
              <w:t xml:space="preserve">GODI </w:t>
            </w:r>
            <w:r w:rsidRPr="00CA6939">
              <w:rPr>
                <w:rFonts w:ascii="Cambria" w:hAnsi="Cambria"/>
                <w:b/>
              </w:rPr>
              <w:t>2013</w:t>
            </w:r>
          </w:p>
        </w:tc>
        <w:tc>
          <w:tcPr>
            <w:tcW w:w="992" w:type="dxa"/>
            <w:tcBorders>
              <w:top w:val="single" w:sz="4" w:space="0" w:color="auto"/>
              <w:bottom w:val="single" w:sz="4" w:space="0" w:color="auto"/>
            </w:tcBorders>
            <w:shd w:val="clear" w:color="auto" w:fill="D9D9D9"/>
          </w:tcPr>
          <w:p w:rsidR="00211B14" w:rsidRPr="00CA6939" w:rsidRDefault="00211B14" w:rsidP="00374A97">
            <w:pPr>
              <w:pStyle w:val="Els-table-text"/>
              <w:keepNext/>
              <w:spacing w:before="60" w:after="60" w:line="240" w:lineRule="auto"/>
              <w:ind w:left="-57" w:right="-57"/>
              <w:rPr>
                <w:rFonts w:ascii="Cambria" w:hAnsi="Cambria"/>
                <w:b/>
                <w:sz w:val="18"/>
              </w:rPr>
            </w:pPr>
            <w:r w:rsidRPr="00CA6939">
              <w:rPr>
                <w:rFonts w:ascii="Cambria" w:hAnsi="Cambria"/>
                <w:b/>
                <w:sz w:val="18"/>
              </w:rPr>
              <w:t xml:space="preserve">GODI </w:t>
            </w:r>
            <w:r w:rsidRPr="00CA6939">
              <w:rPr>
                <w:rFonts w:ascii="Cambria" w:hAnsi="Cambria"/>
                <w:b/>
              </w:rPr>
              <w:t>2015</w:t>
            </w:r>
          </w:p>
        </w:tc>
        <w:tc>
          <w:tcPr>
            <w:tcW w:w="992" w:type="dxa"/>
            <w:tcBorders>
              <w:top w:val="single" w:sz="4" w:space="0" w:color="auto"/>
              <w:bottom w:val="single" w:sz="4" w:space="0" w:color="auto"/>
            </w:tcBorders>
            <w:shd w:val="clear" w:color="auto" w:fill="D9D9D9"/>
          </w:tcPr>
          <w:p w:rsidR="00211B14" w:rsidRPr="00CA6939" w:rsidRDefault="00211B14" w:rsidP="00374A97">
            <w:pPr>
              <w:pStyle w:val="Els-table-text"/>
              <w:keepNext/>
              <w:spacing w:before="60" w:after="60" w:line="240" w:lineRule="auto"/>
              <w:ind w:left="-57" w:right="-57"/>
              <w:rPr>
                <w:rFonts w:ascii="Cambria" w:hAnsi="Cambria"/>
                <w:b/>
                <w:sz w:val="18"/>
              </w:rPr>
            </w:pPr>
            <w:r w:rsidRPr="00CA6939">
              <w:rPr>
                <w:rFonts w:ascii="Cambria" w:hAnsi="Cambria"/>
                <w:b/>
                <w:sz w:val="18"/>
              </w:rPr>
              <w:t xml:space="preserve">ODBI </w:t>
            </w:r>
            <w:r w:rsidRPr="00CA6939">
              <w:rPr>
                <w:rFonts w:ascii="Cambria" w:hAnsi="Cambria"/>
                <w:b/>
              </w:rPr>
              <w:t>2013</w:t>
            </w:r>
          </w:p>
        </w:tc>
        <w:tc>
          <w:tcPr>
            <w:tcW w:w="992" w:type="dxa"/>
            <w:tcBorders>
              <w:top w:val="single" w:sz="4" w:space="0" w:color="auto"/>
              <w:bottom w:val="single" w:sz="4" w:space="0" w:color="auto"/>
            </w:tcBorders>
            <w:shd w:val="clear" w:color="auto" w:fill="D9D9D9"/>
          </w:tcPr>
          <w:p w:rsidR="00211B14" w:rsidRPr="00CA6939" w:rsidRDefault="00211B14" w:rsidP="00374A97">
            <w:pPr>
              <w:pStyle w:val="Els-table-text"/>
              <w:keepNext/>
              <w:spacing w:before="60" w:after="60" w:line="240" w:lineRule="auto"/>
              <w:ind w:left="-57" w:right="-57"/>
              <w:rPr>
                <w:rFonts w:ascii="Cambria" w:hAnsi="Cambria"/>
                <w:b/>
                <w:sz w:val="18"/>
              </w:rPr>
            </w:pPr>
            <w:r w:rsidRPr="00CA6939">
              <w:rPr>
                <w:rFonts w:ascii="Cambria" w:hAnsi="Cambria"/>
                <w:b/>
                <w:sz w:val="18"/>
              </w:rPr>
              <w:t xml:space="preserve">ODBI </w:t>
            </w:r>
            <w:r w:rsidRPr="00CA6939">
              <w:rPr>
                <w:rFonts w:ascii="Cambria" w:hAnsi="Cambria"/>
                <w:b/>
              </w:rPr>
              <w:t>2015</w:t>
            </w:r>
          </w:p>
        </w:tc>
        <w:tc>
          <w:tcPr>
            <w:tcW w:w="992" w:type="dxa"/>
            <w:tcBorders>
              <w:top w:val="single" w:sz="4" w:space="0" w:color="auto"/>
              <w:bottom w:val="single" w:sz="4" w:space="0" w:color="auto"/>
            </w:tcBorders>
            <w:shd w:val="clear" w:color="auto" w:fill="D9D9D9"/>
          </w:tcPr>
          <w:p w:rsidR="00211B14" w:rsidRPr="00CA6939" w:rsidRDefault="00211B14" w:rsidP="00374A97">
            <w:pPr>
              <w:pStyle w:val="Els-table-text"/>
              <w:keepNext/>
              <w:spacing w:before="60" w:after="60" w:line="240" w:lineRule="auto"/>
              <w:ind w:left="-57" w:right="-57"/>
              <w:rPr>
                <w:rFonts w:ascii="Cambria" w:hAnsi="Cambria"/>
                <w:b/>
                <w:sz w:val="18"/>
              </w:rPr>
            </w:pPr>
            <w:r w:rsidRPr="00CA6939">
              <w:rPr>
                <w:rFonts w:ascii="Cambria" w:hAnsi="Cambria"/>
                <w:b/>
                <w:sz w:val="18"/>
              </w:rPr>
              <w:t xml:space="preserve">CPI </w:t>
            </w:r>
            <w:r w:rsidRPr="00CA6939">
              <w:rPr>
                <w:rFonts w:ascii="Cambria" w:hAnsi="Cambria"/>
                <w:b/>
              </w:rPr>
              <w:t>2013</w:t>
            </w:r>
          </w:p>
        </w:tc>
        <w:tc>
          <w:tcPr>
            <w:tcW w:w="992" w:type="dxa"/>
            <w:tcBorders>
              <w:top w:val="single" w:sz="4" w:space="0" w:color="auto"/>
              <w:bottom w:val="single" w:sz="4" w:space="0" w:color="auto"/>
            </w:tcBorders>
            <w:shd w:val="clear" w:color="auto" w:fill="D9D9D9"/>
          </w:tcPr>
          <w:p w:rsidR="00211B14" w:rsidRPr="00CA6939" w:rsidRDefault="00211B14" w:rsidP="00374A97">
            <w:pPr>
              <w:pStyle w:val="Els-table-text"/>
              <w:keepNext/>
              <w:spacing w:before="60" w:after="60" w:line="240" w:lineRule="auto"/>
              <w:ind w:left="-57" w:right="-57"/>
              <w:rPr>
                <w:rFonts w:ascii="Cambria" w:hAnsi="Cambria"/>
                <w:b/>
                <w:sz w:val="18"/>
              </w:rPr>
            </w:pPr>
            <w:r w:rsidRPr="00CA6939">
              <w:rPr>
                <w:rFonts w:ascii="Cambria" w:hAnsi="Cambria"/>
                <w:b/>
                <w:sz w:val="18"/>
              </w:rPr>
              <w:t xml:space="preserve">CPI </w:t>
            </w:r>
            <w:r w:rsidRPr="00CA6939">
              <w:rPr>
                <w:rFonts w:ascii="Cambria" w:hAnsi="Cambria"/>
                <w:b/>
              </w:rPr>
              <w:t>2015</w:t>
            </w:r>
          </w:p>
        </w:tc>
        <w:tc>
          <w:tcPr>
            <w:tcW w:w="992" w:type="dxa"/>
            <w:tcBorders>
              <w:top w:val="single" w:sz="4" w:space="0" w:color="auto"/>
              <w:bottom w:val="single" w:sz="4" w:space="0" w:color="auto"/>
            </w:tcBorders>
            <w:shd w:val="clear" w:color="auto" w:fill="D9D9D9"/>
          </w:tcPr>
          <w:p w:rsidR="00211B14" w:rsidRPr="00CA6939" w:rsidRDefault="00211B14" w:rsidP="00374A97">
            <w:pPr>
              <w:pStyle w:val="Els-table-text"/>
              <w:keepNext/>
              <w:spacing w:before="60" w:after="60" w:line="240" w:lineRule="auto"/>
              <w:ind w:left="-57" w:right="-57"/>
              <w:rPr>
                <w:rFonts w:ascii="Cambria" w:hAnsi="Cambria"/>
                <w:b/>
                <w:sz w:val="18"/>
              </w:rPr>
            </w:pPr>
            <w:r w:rsidRPr="00CA6939">
              <w:rPr>
                <w:rFonts w:ascii="Cambria" w:hAnsi="Cambria"/>
                <w:b/>
                <w:sz w:val="18"/>
              </w:rPr>
              <w:t xml:space="preserve">CCI </w:t>
            </w:r>
            <w:r w:rsidRPr="00CA6939">
              <w:rPr>
                <w:rFonts w:ascii="Cambria" w:hAnsi="Cambria"/>
                <w:b/>
              </w:rPr>
              <w:t>2013</w:t>
            </w:r>
          </w:p>
        </w:tc>
        <w:tc>
          <w:tcPr>
            <w:tcW w:w="992" w:type="dxa"/>
            <w:tcBorders>
              <w:top w:val="single" w:sz="4" w:space="0" w:color="auto"/>
              <w:bottom w:val="single" w:sz="4" w:space="0" w:color="auto"/>
            </w:tcBorders>
            <w:shd w:val="clear" w:color="auto" w:fill="D9D9D9"/>
          </w:tcPr>
          <w:p w:rsidR="00211B14" w:rsidRPr="00CA6939" w:rsidRDefault="00211B14" w:rsidP="00374A97">
            <w:pPr>
              <w:pStyle w:val="Els-table-text"/>
              <w:keepNext/>
              <w:spacing w:before="60" w:after="60" w:line="240" w:lineRule="auto"/>
              <w:ind w:left="-57" w:right="-57"/>
              <w:rPr>
                <w:rFonts w:ascii="Cambria" w:hAnsi="Cambria"/>
                <w:b/>
                <w:sz w:val="18"/>
              </w:rPr>
            </w:pPr>
            <w:r w:rsidRPr="00CA6939">
              <w:rPr>
                <w:rFonts w:ascii="Cambria" w:hAnsi="Cambria"/>
                <w:b/>
                <w:sz w:val="18"/>
              </w:rPr>
              <w:t xml:space="preserve">CCI </w:t>
            </w:r>
            <w:r w:rsidRPr="00CA6939">
              <w:rPr>
                <w:rFonts w:ascii="Cambria" w:hAnsi="Cambria"/>
                <w:b/>
              </w:rPr>
              <w:t>2015</w:t>
            </w:r>
          </w:p>
        </w:tc>
      </w:tr>
      <w:tr w:rsidR="004640BD" w:rsidRPr="00CA6939" w:rsidTr="004640BD">
        <w:trPr>
          <w:trHeight w:val="126"/>
          <w:jc w:val="center"/>
        </w:trPr>
        <w:tc>
          <w:tcPr>
            <w:tcW w:w="992" w:type="dxa"/>
            <w:tcBorders>
              <w:top w:val="single" w:sz="4" w:space="0" w:color="auto"/>
            </w:tcBorders>
          </w:tcPr>
          <w:p w:rsidR="004640BD" w:rsidRPr="00CA6939" w:rsidRDefault="004640BD" w:rsidP="00374A97">
            <w:pPr>
              <w:pStyle w:val="Els-table-text"/>
              <w:keepNext/>
              <w:spacing w:before="60" w:after="60" w:line="240" w:lineRule="auto"/>
              <w:ind w:left="-57" w:right="-57"/>
              <w:rPr>
                <w:rFonts w:ascii="Cambria" w:hAnsi="Cambria"/>
                <w:sz w:val="18"/>
              </w:rPr>
            </w:pPr>
            <w:r w:rsidRPr="00CA6939">
              <w:rPr>
                <w:rFonts w:ascii="Cambria" w:hAnsi="Cambria"/>
                <w:sz w:val="18"/>
              </w:rPr>
              <w:t xml:space="preserve">GODI </w:t>
            </w:r>
            <w:r w:rsidRPr="00CA6939">
              <w:rPr>
                <w:rFonts w:ascii="Cambria" w:hAnsi="Cambria"/>
              </w:rPr>
              <w:t>2013</w:t>
            </w:r>
          </w:p>
        </w:tc>
        <w:tc>
          <w:tcPr>
            <w:tcW w:w="992" w:type="dxa"/>
            <w:tcBorders>
              <w:top w:val="single" w:sz="4" w:space="0" w:color="auto"/>
            </w:tcBorders>
            <w:vAlign w:val="center"/>
          </w:tcPr>
          <w:p w:rsidR="004640BD" w:rsidRPr="00CA6939" w:rsidRDefault="004640BD" w:rsidP="00374A97">
            <w:pPr>
              <w:keepNext/>
              <w:spacing w:before="60" w:after="60"/>
              <w:ind w:firstLine="0"/>
              <w:jc w:val="left"/>
              <w:rPr>
                <w:sz w:val="18"/>
                <w:szCs w:val="18"/>
                <w:lang w:val="en-US"/>
              </w:rPr>
            </w:pPr>
            <w:r w:rsidRPr="00CA6939">
              <w:rPr>
                <w:sz w:val="18"/>
                <w:szCs w:val="18"/>
                <w:lang w:val="en-US"/>
              </w:rPr>
              <w:t>1.000</w:t>
            </w:r>
          </w:p>
        </w:tc>
        <w:tc>
          <w:tcPr>
            <w:tcW w:w="992" w:type="dxa"/>
            <w:tcBorders>
              <w:top w:val="single" w:sz="4" w:space="0" w:color="auto"/>
            </w:tcBorders>
            <w:vAlign w:val="center"/>
          </w:tcPr>
          <w:p w:rsidR="004640BD" w:rsidRPr="00CA6939" w:rsidRDefault="004640BD" w:rsidP="00374A97">
            <w:pPr>
              <w:keepNext/>
              <w:spacing w:before="60" w:after="60"/>
              <w:ind w:firstLine="0"/>
              <w:jc w:val="left"/>
              <w:rPr>
                <w:sz w:val="18"/>
                <w:szCs w:val="18"/>
                <w:lang w:val="en-US"/>
              </w:rPr>
            </w:pPr>
          </w:p>
        </w:tc>
        <w:tc>
          <w:tcPr>
            <w:tcW w:w="992" w:type="dxa"/>
            <w:tcBorders>
              <w:top w:val="single" w:sz="4" w:space="0" w:color="auto"/>
            </w:tcBorders>
            <w:vAlign w:val="center"/>
          </w:tcPr>
          <w:p w:rsidR="004640BD" w:rsidRPr="00CA6939" w:rsidRDefault="004640BD" w:rsidP="00374A97">
            <w:pPr>
              <w:keepNext/>
              <w:spacing w:before="60" w:after="60"/>
              <w:ind w:firstLine="0"/>
              <w:jc w:val="left"/>
              <w:rPr>
                <w:sz w:val="18"/>
                <w:szCs w:val="18"/>
                <w:lang w:val="en-US"/>
              </w:rPr>
            </w:pPr>
          </w:p>
        </w:tc>
        <w:tc>
          <w:tcPr>
            <w:tcW w:w="992" w:type="dxa"/>
            <w:tcBorders>
              <w:top w:val="single" w:sz="4" w:space="0" w:color="auto"/>
            </w:tcBorders>
            <w:vAlign w:val="center"/>
          </w:tcPr>
          <w:p w:rsidR="004640BD" w:rsidRPr="00CA6939" w:rsidRDefault="004640BD" w:rsidP="00374A97">
            <w:pPr>
              <w:keepNext/>
              <w:spacing w:before="60" w:after="60"/>
              <w:ind w:firstLine="0"/>
              <w:jc w:val="left"/>
              <w:rPr>
                <w:sz w:val="18"/>
                <w:szCs w:val="18"/>
                <w:lang w:val="en-US"/>
              </w:rPr>
            </w:pPr>
          </w:p>
        </w:tc>
        <w:tc>
          <w:tcPr>
            <w:tcW w:w="992" w:type="dxa"/>
            <w:tcBorders>
              <w:top w:val="single" w:sz="4" w:space="0" w:color="auto"/>
            </w:tcBorders>
            <w:vAlign w:val="center"/>
          </w:tcPr>
          <w:p w:rsidR="004640BD" w:rsidRPr="00CA6939" w:rsidRDefault="004640BD" w:rsidP="00374A97">
            <w:pPr>
              <w:keepNext/>
              <w:spacing w:before="60" w:after="60"/>
              <w:ind w:firstLine="0"/>
              <w:jc w:val="left"/>
              <w:rPr>
                <w:sz w:val="18"/>
                <w:szCs w:val="18"/>
                <w:lang w:val="en-US"/>
              </w:rPr>
            </w:pPr>
          </w:p>
        </w:tc>
        <w:tc>
          <w:tcPr>
            <w:tcW w:w="992" w:type="dxa"/>
            <w:tcBorders>
              <w:top w:val="single" w:sz="4" w:space="0" w:color="auto"/>
            </w:tcBorders>
            <w:vAlign w:val="center"/>
          </w:tcPr>
          <w:p w:rsidR="004640BD" w:rsidRPr="00CA6939" w:rsidRDefault="004640BD" w:rsidP="00374A97">
            <w:pPr>
              <w:keepNext/>
              <w:spacing w:before="60" w:after="60"/>
              <w:ind w:firstLine="0"/>
              <w:jc w:val="left"/>
              <w:rPr>
                <w:sz w:val="18"/>
                <w:szCs w:val="18"/>
                <w:lang w:val="en-US"/>
              </w:rPr>
            </w:pPr>
          </w:p>
        </w:tc>
        <w:tc>
          <w:tcPr>
            <w:tcW w:w="992" w:type="dxa"/>
            <w:tcBorders>
              <w:top w:val="single" w:sz="4" w:space="0" w:color="auto"/>
            </w:tcBorders>
            <w:vAlign w:val="center"/>
          </w:tcPr>
          <w:p w:rsidR="004640BD" w:rsidRPr="00CA6939" w:rsidRDefault="004640BD" w:rsidP="00374A97">
            <w:pPr>
              <w:keepNext/>
              <w:spacing w:before="60" w:after="60"/>
              <w:ind w:firstLine="0"/>
              <w:jc w:val="left"/>
              <w:rPr>
                <w:sz w:val="18"/>
                <w:szCs w:val="18"/>
                <w:lang w:val="en-US"/>
              </w:rPr>
            </w:pPr>
          </w:p>
        </w:tc>
        <w:tc>
          <w:tcPr>
            <w:tcW w:w="992" w:type="dxa"/>
            <w:tcBorders>
              <w:top w:val="single" w:sz="4" w:space="0" w:color="auto"/>
            </w:tcBorders>
            <w:vAlign w:val="center"/>
          </w:tcPr>
          <w:p w:rsidR="004640BD" w:rsidRPr="00CA6939" w:rsidRDefault="004640BD" w:rsidP="00374A97">
            <w:pPr>
              <w:keepNext/>
              <w:spacing w:before="60" w:after="60"/>
              <w:ind w:firstLine="0"/>
              <w:jc w:val="left"/>
              <w:rPr>
                <w:sz w:val="18"/>
                <w:szCs w:val="18"/>
                <w:lang w:val="en-US"/>
              </w:rPr>
            </w:pPr>
          </w:p>
        </w:tc>
      </w:tr>
      <w:tr w:rsidR="004640BD" w:rsidRPr="00CA6939" w:rsidTr="004640BD">
        <w:trPr>
          <w:trHeight w:val="126"/>
          <w:jc w:val="center"/>
        </w:trPr>
        <w:tc>
          <w:tcPr>
            <w:tcW w:w="992" w:type="dxa"/>
          </w:tcPr>
          <w:p w:rsidR="004640BD" w:rsidRPr="00CA6939" w:rsidRDefault="004640BD" w:rsidP="00374A97">
            <w:pPr>
              <w:pStyle w:val="Els-table-text"/>
              <w:keepNext/>
              <w:spacing w:before="60" w:after="60" w:line="240" w:lineRule="auto"/>
              <w:ind w:left="-57" w:right="-57"/>
              <w:rPr>
                <w:rFonts w:ascii="Cambria" w:hAnsi="Cambria"/>
                <w:sz w:val="18"/>
              </w:rPr>
            </w:pPr>
            <w:r w:rsidRPr="00CA6939">
              <w:rPr>
                <w:rFonts w:ascii="Cambria" w:hAnsi="Cambria"/>
                <w:sz w:val="18"/>
              </w:rPr>
              <w:t xml:space="preserve">GODI </w:t>
            </w:r>
            <w:r w:rsidRPr="00CA6939">
              <w:rPr>
                <w:rFonts w:ascii="Cambria" w:hAnsi="Cambria"/>
              </w:rPr>
              <w:t>2015</w:t>
            </w:r>
          </w:p>
        </w:tc>
        <w:tc>
          <w:tcPr>
            <w:tcW w:w="992" w:type="dxa"/>
            <w:vAlign w:val="center"/>
          </w:tcPr>
          <w:p w:rsidR="004640BD" w:rsidRPr="00CA6939" w:rsidRDefault="004640BD" w:rsidP="00374A97">
            <w:pPr>
              <w:keepNext/>
              <w:spacing w:before="60" w:after="60"/>
              <w:ind w:firstLine="0"/>
              <w:jc w:val="left"/>
              <w:rPr>
                <w:sz w:val="18"/>
                <w:szCs w:val="18"/>
                <w:lang w:val="en-US"/>
              </w:rPr>
            </w:pPr>
            <w:r w:rsidRPr="00CA6939">
              <w:rPr>
                <w:sz w:val="18"/>
                <w:szCs w:val="18"/>
                <w:lang w:val="en-US"/>
              </w:rPr>
              <w:t>0.767</w:t>
            </w:r>
          </w:p>
        </w:tc>
        <w:tc>
          <w:tcPr>
            <w:tcW w:w="992" w:type="dxa"/>
            <w:vAlign w:val="center"/>
          </w:tcPr>
          <w:p w:rsidR="004640BD" w:rsidRPr="00CA6939" w:rsidRDefault="004640BD" w:rsidP="00374A97">
            <w:pPr>
              <w:keepNext/>
              <w:spacing w:before="60" w:after="60"/>
              <w:ind w:firstLine="0"/>
              <w:jc w:val="left"/>
              <w:rPr>
                <w:sz w:val="18"/>
                <w:szCs w:val="18"/>
                <w:lang w:val="en-US"/>
              </w:rPr>
            </w:pPr>
            <w:r w:rsidRPr="00CA6939">
              <w:rPr>
                <w:sz w:val="18"/>
                <w:szCs w:val="18"/>
                <w:lang w:val="en-US"/>
              </w:rPr>
              <w:t>1.000</w:t>
            </w:r>
          </w:p>
        </w:tc>
        <w:tc>
          <w:tcPr>
            <w:tcW w:w="992" w:type="dxa"/>
            <w:vAlign w:val="center"/>
          </w:tcPr>
          <w:p w:rsidR="004640BD" w:rsidRPr="00CA6939" w:rsidRDefault="004640BD" w:rsidP="00374A97">
            <w:pPr>
              <w:keepNext/>
              <w:spacing w:before="60" w:after="60"/>
              <w:ind w:firstLine="0"/>
              <w:jc w:val="left"/>
              <w:rPr>
                <w:sz w:val="18"/>
                <w:szCs w:val="18"/>
                <w:lang w:val="en-US"/>
              </w:rPr>
            </w:pPr>
          </w:p>
        </w:tc>
        <w:tc>
          <w:tcPr>
            <w:tcW w:w="992" w:type="dxa"/>
            <w:vAlign w:val="center"/>
          </w:tcPr>
          <w:p w:rsidR="004640BD" w:rsidRPr="00CA6939" w:rsidRDefault="004640BD" w:rsidP="00374A97">
            <w:pPr>
              <w:keepNext/>
              <w:spacing w:before="60" w:after="60"/>
              <w:ind w:firstLine="0"/>
              <w:jc w:val="left"/>
              <w:rPr>
                <w:sz w:val="18"/>
                <w:szCs w:val="18"/>
                <w:lang w:val="en-US"/>
              </w:rPr>
            </w:pPr>
          </w:p>
        </w:tc>
        <w:tc>
          <w:tcPr>
            <w:tcW w:w="992" w:type="dxa"/>
            <w:vAlign w:val="center"/>
          </w:tcPr>
          <w:p w:rsidR="004640BD" w:rsidRPr="00CA6939" w:rsidRDefault="004640BD" w:rsidP="00374A97">
            <w:pPr>
              <w:keepNext/>
              <w:spacing w:before="60" w:after="60"/>
              <w:ind w:firstLine="0"/>
              <w:jc w:val="left"/>
              <w:rPr>
                <w:sz w:val="18"/>
                <w:szCs w:val="18"/>
                <w:lang w:val="en-US"/>
              </w:rPr>
            </w:pPr>
          </w:p>
        </w:tc>
        <w:tc>
          <w:tcPr>
            <w:tcW w:w="992" w:type="dxa"/>
            <w:vAlign w:val="center"/>
          </w:tcPr>
          <w:p w:rsidR="004640BD" w:rsidRPr="00CA6939" w:rsidRDefault="004640BD" w:rsidP="00374A97">
            <w:pPr>
              <w:keepNext/>
              <w:spacing w:before="60" w:after="60"/>
              <w:ind w:firstLine="0"/>
              <w:jc w:val="left"/>
              <w:rPr>
                <w:sz w:val="18"/>
                <w:szCs w:val="18"/>
                <w:lang w:val="en-US"/>
              </w:rPr>
            </w:pPr>
          </w:p>
        </w:tc>
        <w:tc>
          <w:tcPr>
            <w:tcW w:w="992" w:type="dxa"/>
            <w:vAlign w:val="center"/>
          </w:tcPr>
          <w:p w:rsidR="004640BD" w:rsidRPr="00CA6939" w:rsidRDefault="004640BD" w:rsidP="00374A97">
            <w:pPr>
              <w:keepNext/>
              <w:spacing w:before="60" w:after="60"/>
              <w:ind w:firstLine="0"/>
              <w:jc w:val="left"/>
              <w:rPr>
                <w:sz w:val="18"/>
                <w:szCs w:val="18"/>
                <w:lang w:val="en-US"/>
              </w:rPr>
            </w:pPr>
          </w:p>
        </w:tc>
        <w:tc>
          <w:tcPr>
            <w:tcW w:w="992" w:type="dxa"/>
            <w:vAlign w:val="center"/>
          </w:tcPr>
          <w:p w:rsidR="004640BD" w:rsidRPr="00CA6939" w:rsidRDefault="004640BD" w:rsidP="00374A97">
            <w:pPr>
              <w:keepNext/>
              <w:spacing w:before="60" w:after="60"/>
              <w:ind w:firstLine="0"/>
              <w:jc w:val="left"/>
              <w:rPr>
                <w:sz w:val="18"/>
                <w:szCs w:val="18"/>
                <w:lang w:val="en-US"/>
              </w:rPr>
            </w:pPr>
          </w:p>
        </w:tc>
      </w:tr>
      <w:tr w:rsidR="004640BD" w:rsidRPr="00CA6939" w:rsidTr="004640BD">
        <w:trPr>
          <w:trHeight w:val="126"/>
          <w:jc w:val="center"/>
        </w:trPr>
        <w:tc>
          <w:tcPr>
            <w:tcW w:w="992" w:type="dxa"/>
          </w:tcPr>
          <w:p w:rsidR="004640BD" w:rsidRPr="00CA6939" w:rsidRDefault="004640BD" w:rsidP="00374A97">
            <w:pPr>
              <w:pStyle w:val="Els-table-text"/>
              <w:keepNext/>
              <w:spacing w:before="60" w:after="60" w:line="240" w:lineRule="auto"/>
              <w:ind w:left="-57" w:right="-57"/>
              <w:rPr>
                <w:rFonts w:ascii="Cambria" w:hAnsi="Cambria"/>
                <w:sz w:val="18"/>
              </w:rPr>
            </w:pPr>
            <w:r w:rsidRPr="00CA6939">
              <w:rPr>
                <w:rFonts w:ascii="Cambria" w:hAnsi="Cambria"/>
                <w:sz w:val="18"/>
              </w:rPr>
              <w:t xml:space="preserve">ODBI </w:t>
            </w:r>
            <w:r w:rsidRPr="00CA6939">
              <w:rPr>
                <w:rFonts w:ascii="Cambria" w:hAnsi="Cambria"/>
              </w:rPr>
              <w:t>2013</w:t>
            </w:r>
          </w:p>
        </w:tc>
        <w:tc>
          <w:tcPr>
            <w:tcW w:w="992" w:type="dxa"/>
            <w:vAlign w:val="center"/>
          </w:tcPr>
          <w:p w:rsidR="004640BD" w:rsidRPr="00CA6939" w:rsidRDefault="004640BD" w:rsidP="00374A97">
            <w:pPr>
              <w:keepNext/>
              <w:spacing w:before="60" w:after="60"/>
              <w:ind w:firstLine="0"/>
              <w:jc w:val="left"/>
              <w:rPr>
                <w:sz w:val="18"/>
                <w:szCs w:val="18"/>
                <w:lang w:val="en-US"/>
              </w:rPr>
            </w:pPr>
            <w:r w:rsidRPr="00CA6939">
              <w:rPr>
                <w:sz w:val="18"/>
                <w:szCs w:val="18"/>
                <w:lang w:val="en-US"/>
              </w:rPr>
              <w:t>0.855</w:t>
            </w:r>
          </w:p>
        </w:tc>
        <w:tc>
          <w:tcPr>
            <w:tcW w:w="992" w:type="dxa"/>
            <w:vAlign w:val="center"/>
          </w:tcPr>
          <w:p w:rsidR="004640BD" w:rsidRPr="00CA6939" w:rsidRDefault="004640BD" w:rsidP="00374A97">
            <w:pPr>
              <w:keepNext/>
              <w:spacing w:before="60" w:after="60"/>
              <w:ind w:firstLine="0"/>
              <w:jc w:val="left"/>
              <w:rPr>
                <w:sz w:val="18"/>
                <w:szCs w:val="18"/>
                <w:lang w:val="en-US"/>
              </w:rPr>
            </w:pPr>
            <w:r w:rsidRPr="00CA6939">
              <w:rPr>
                <w:sz w:val="18"/>
                <w:szCs w:val="18"/>
                <w:lang w:val="en-US"/>
              </w:rPr>
              <w:t>0.795</w:t>
            </w:r>
          </w:p>
        </w:tc>
        <w:tc>
          <w:tcPr>
            <w:tcW w:w="992" w:type="dxa"/>
            <w:vAlign w:val="center"/>
          </w:tcPr>
          <w:p w:rsidR="004640BD" w:rsidRPr="00CA6939" w:rsidRDefault="004640BD" w:rsidP="00374A97">
            <w:pPr>
              <w:keepNext/>
              <w:spacing w:before="60" w:after="60"/>
              <w:ind w:firstLine="0"/>
              <w:jc w:val="left"/>
              <w:rPr>
                <w:sz w:val="18"/>
                <w:szCs w:val="18"/>
                <w:lang w:val="en-US"/>
              </w:rPr>
            </w:pPr>
            <w:r w:rsidRPr="00CA6939">
              <w:rPr>
                <w:sz w:val="18"/>
                <w:szCs w:val="18"/>
                <w:lang w:val="en-US"/>
              </w:rPr>
              <w:t>1.000</w:t>
            </w:r>
          </w:p>
        </w:tc>
        <w:tc>
          <w:tcPr>
            <w:tcW w:w="992" w:type="dxa"/>
            <w:vAlign w:val="center"/>
          </w:tcPr>
          <w:p w:rsidR="004640BD" w:rsidRPr="00CA6939" w:rsidRDefault="004640BD" w:rsidP="00374A97">
            <w:pPr>
              <w:keepNext/>
              <w:spacing w:before="60" w:after="60"/>
              <w:ind w:firstLine="0"/>
              <w:jc w:val="left"/>
              <w:rPr>
                <w:sz w:val="18"/>
                <w:szCs w:val="18"/>
                <w:lang w:val="en-US"/>
              </w:rPr>
            </w:pPr>
          </w:p>
        </w:tc>
        <w:tc>
          <w:tcPr>
            <w:tcW w:w="992" w:type="dxa"/>
            <w:vAlign w:val="center"/>
          </w:tcPr>
          <w:p w:rsidR="004640BD" w:rsidRPr="00CA6939" w:rsidRDefault="004640BD" w:rsidP="00374A97">
            <w:pPr>
              <w:keepNext/>
              <w:spacing w:before="60" w:after="60"/>
              <w:ind w:firstLine="0"/>
              <w:jc w:val="left"/>
              <w:rPr>
                <w:sz w:val="18"/>
                <w:szCs w:val="18"/>
                <w:lang w:val="en-US"/>
              </w:rPr>
            </w:pPr>
          </w:p>
        </w:tc>
        <w:tc>
          <w:tcPr>
            <w:tcW w:w="992" w:type="dxa"/>
            <w:vAlign w:val="center"/>
          </w:tcPr>
          <w:p w:rsidR="004640BD" w:rsidRPr="00CA6939" w:rsidRDefault="004640BD" w:rsidP="00374A97">
            <w:pPr>
              <w:keepNext/>
              <w:spacing w:before="60" w:after="60"/>
              <w:ind w:firstLine="0"/>
              <w:jc w:val="left"/>
              <w:rPr>
                <w:sz w:val="18"/>
                <w:szCs w:val="18"/>
                <w:lang w:val="en-US"/>
              </w:rPr>
            </w:pPr>
          </w:p>
        </w:tc>
        <w:tc>
          <w:tcPr>
            <w:tcW w:w="992" w:type="dxa"/>
            <w:vAlign w:val="center"/>
          </w:tcPr>
          <w:p w:rsidR="004640BD" w:rsidRPr="00CA6939" w:rsidRDefault="004640BD" w:rsidP="00374A97">
            <w:pPr>
              <w:keepNext/>
              <w:spacing w:before="60" w:after="60"/>
              <w:ind w:firstLine="0"/>
              <w:jc w:val="left"/>
              <w:rPr>
                <w:sz w:val="18"/>
                <w:szCs w:val="18"/>
                <w:lang w:val="en-US"/>
              </w:rPr>
            </w:pPr>
          </w:p>
        </w:tc>
        <w:tc>
          <w:tcPr>
            <w:tcW w:w="992" w:type="dxa"/>
            <w:vAlign w:val="center"/>
          </w:tcPr>
          <w:p w:rsidR="004640BD" w:rsidRPr="00CA6939" w:rsidRDefault="004640BD" w:rsidP="00374A97">
            <w:pPr>
              <w:keepNext/>
              <w:spacing w:before="60" w:after="60"/>
              <w:ind w:firstLine="0"/>
              <w:jc w:val="left"/>
              <w:rPr>
                <w:sz w:val="18"/>
                <w:szCs w:val="18"/>
                <w:lang w:val="en-US"/>
              </w:rPr>
            </w:pPr>
          </w:p>
        </w:tc>
      </w:tr>
      <w:tr w:rsidR="004640BD" w:rsidRPr="00CA6939" w:rsidTr="004640BD">
        <w:trPr>
          <w:trHeight w:val="126"/>
          <w:jc w:val="center"/>
        </w:trPr>
        <w:tc>
          <w:tcPr>
            <w:tcW w:w="992" w:type="dxa"/>
          </w:tcPr>
          <w:p w:rsidR="004640BD" w:rsidRPr="00CA6939" w:rsidRDefault="004640BD" w:rsidP="00374A97">
            <w:pPr>
              <w:pStyle w:val="Els-table-text"/>
              <w:keepNext/>
              <w:spacing w:before="60" w:after="60" w:line="240" w:lineRule="auto"/>
              <w:ind w:left="-57" w:right="-57"/>
              <w:rPr>
                <w:rFonts w:ascii="Cambria" w:hAnsi="Cambria"/>
                <w:sz w:val="18"/>
              </w:rPr>
            </w:pPr>
            <w:r w:rsidRPr="00CA6939">
              <w:rPr>
                <w:rFonts w:ascii="Cambria" w:hAnsi="Cambria"/>
                <w:sz w:val="18"/>
              </w:rPr>
              <w:t xml:space="preserve">ODBI </w:t>
            </w:r>
            <w:r w:rsidRPr="00CA6939">
              <w:rPr>
                <w:rFonts w:ascii="Cambria" w:hAnsi="Cambria"/>
              </w:rPr>
              <w:t>2015</w:t>
            </w:r>
          </w:p>
        </w:tc>
        <w:tc>
          <w:tcPr>
            <w:tcW w:w="992" w:type="dxa"/>
            <w:vAlign w:val="center"/>
          </w:tcPr>
          <w:p w:rsidR="004640BD" w:rsidRPr="00CA6939" w:rsidRDefault="004640BD" w:rsidP="00374A97">
            <w:pPr>
              <w:keepNext/>
              <w:spacing w:before="60" w:after="60"/>
              <w:ind w:firstLine="0"/>
              <w:jc w:val="left"/>
              <w:rPr>
                <w:sz w:val="18"/>
                <w:szCs w:val="18"/>
                <w:lang w:val="en-US"/>
              </w:rPr>
            </w:pPr>
            <w:r w:rsidRPr="00CA6939">
              <w:rPr>
                <w:sz w:val="18"/>
                <w:szCs w:val="18"/>
                <w:lang w:val="en-US"/>
              </w:rPr>
              <w:t>0.817</w:t>
            </w:r>
          </w:p>
        </w:tc>
        <w:tc>
          <w:tcPr>
            <w:tcW w:w="992" w:type="dxa"/>
            <w:vAlign w:val="center"/>
          </w:tcPr>
          <w:p w:rsidR="004640BD" w:rsidRPr="00CA6939" w:rsidRDefault="004640BD" w:rsidP="00374A97">
            <w:pPr>
              <w:keepNext/>
              <w:spacing w:before="60" w:after="60"/>
              <w:ind w:firstLine="0"/>
              <w:jc w:val="left"/>
              <w:rPr>
                <w:sz w:val="18"/>
                <w:szCs w:val="18"/>
                <w:lang w:val="en-US"/>
              </w:rPr>
            </w:pPr>
            <w:r w:rsidRPr="00CA6939">
              <w:rPr>
                <w:sz w:val="18"/>
                <w:szCs w:val="18"/>
                <w:lang w:val="en-US"/>
              </w:rPr>
              <w:t>0.830</w:t>
            </w:r>
          </w:p>
        </w:tc>
        <w:tc>
          <w:tcPr>
            <w:tcW w:w="992" w:type="dxa"/>
            <w:vAlign w:val="center"/>
          </w:tcPr>
          <w:p w:rsidR="004640BD" w:rsidRPr="00CA6939" w:rsidRDefault="004640BD" w:rsidP="00374A97">
            <w:pPr>
              <w:keepNext/>
              <w:spacing w:before="60" w:after="60"/>
              <w:ind w:firstLine="0"/>
              <w:jc w:val="left"/>
              <w:rPr>
                <w:sz w:val="18"/>
                <w:szCs w:val="18"/>
                <w:lang w:val="en-US"/>
              </w:rPr>
            </w:pPr>
            <w:r w:rsidRPr="00CA6939">
              <w:rPr>
                <w:sz w:val="18"/>
                <w:szCs w:val="18"/>
                <w:lang w:val="en-US"/>
              </w:rPr>
              <w:t>0.923</w:t>
            </w:r>
          </w:p>
        </w:tc>
        <w:tc>
          <w:tcPr>
            <w:tcW w:w="992" w:type="dxa"/>
            <w:vAlign w:val="center"/>
          </w:tcPr>
          <w:p w:rsidR="004640BD" w:rsidRPr="00CA6939" w:rsidRDefault="004640BD" w:rsidP="00374A97">
            <w:pPr>
              <w:keepNext/>
              <w:spacing w:before="60" w:after="60"/>
              <w:ind w:firstLine="0"/>
              <w:jc w:val="left"/>
              <w:rPr>
                <w:sz w:val="18"/>
                <w:szCs w:val="18"/>
                <w:lang w:val="en-US"/>
              </w:rPr>
            </w:pPr>
            <w:r w:rsidRPr="00CA6939">
              <w:rPr>
                <w:sz w:val="18"/>
                <w:szCs w:val="18"/>
                <w:lang w:val="en-US"/>
              </w:rPr>
              <w:t>1.000</w:t>
            </w:r>
          </w:p>
        </w:tc>
        <w:tc>
          <w:tcPr>
            <w:tcW w:w="992" w:type="dxa"/>
            <w:vAlign w:val="center"/>
          </w:tcPr>
          <w:p w:rsidR="004640BD" w:rsidRPr="00CA6939" w:rsidRDefault="004640BD" w:rsidP="00374A97">
            <w:pPr>
              <w:keepNext/>
              <w:spacing w:before="60" w:after="60"/>
              <w:ind w:firstLine="0"/>
              <w:jc w:val="left"/>
              <w:rPr>
                <w:sz w:val="18"/>
                <w:szCs w:val="18"/>
                <w:lang w:val="en-US"/>
              </w:rPr>
            </w:pPr>
          </w:p>
        </w:tc>
        <w:tc>
          <w:tcPr>
            <w:tcW w:w="992" w:type="dxa"/>
            <w:vAlign w:val="center"/>
          </w:tcPr>
          <w:p w:rsidR="004640BD" w:rsidRPr="00CA6939" w:rsidRDefault="004640BD" w:rsidP="00374A97">
            <w:pPr>
              <w:keepNext/>
              <w:spacing w:before="60" w:after="60"/>
              <w:ind w:firstLine="0"/>
              <w:jc w:val="left"/>
              <w:rPr>
                <w:sz w:val="18"/>
                <w:szCs w:val="18"/>
                <w:lang w:val="en-US"/>
              </w:rPr>
            </w:pPr>
          </w:p>
        </w:tc>
        <w:tc>
          <w:tcPr>
            <w:tcW w:w="992" w:type="dxa"/>
            <w:vAlign w:val="center"/>
          </w:tcPr>
          <w:p w:rsidR="004640BD" w:rsidRPr="00CA6939" w:rsidRDefault="004640BD" w:rsidP="00374A97">
            <w:pPr>
              <w:keepNext/>
              <w:spacing w:before="60" w:after="60"/>
              <w:ind w:firstLine="0"/>
              <w:jc w:val="left"/>
              <w:rPr>
                <w:sz w:val="18"/>
                <w:szCs w:val="18"/>
                <w:lang w:val="en-US"/>
              </w:rPr>
            </w:pPr>
          </w:p>
        </w:tc>
        <w:tc>
          <w:tcPr>
            <w:tcW w:w="992" w:type="dxa"/>
            <w:vAlign w:val="center"/>
          </w:tcPr>
          <w:p w:rsidR="004640BD" w:rsidRPr="00CA6939" w:rsidRDefault="004640BD" w:rsidP="00374A97">
            <w:pPr>
              <w:keepNext/>
              <w:spacing w:before="60" w:after="60"/>
              <w:ind w:firstLine="0"/>
              <w:jc w:val="left"/>
              <w:rPr>
                <w:sz w:val="18"/>
                <w:szCs w:val="18"/>
                <w:lang w:val="en-US"/>
              </w:rPr>
            </w:pPr>
          </w:p>
        </w:tc>
      </w:tr>
      <w:tr w:rsidR="004640BD" w:rsidRPr="00CA6939" w:rsidTr="004640BD">
        <w:trPr>
          <w:trHeight w:val="126"/>
          <w:jc w:val="center"/>
        </w:trPr>
        <w:tc>
          <w:tcPr>
            <w:tcW w:w="992" w:type="dxa"/>
          </w:tcPr>
          <w:p w:rsidR="004640BD" w:rsidRPr="00CA6939" w:rsidRDefault="004640BD" w:rsidP="00374A97">
            <w:pPr>
              <w:pStyle w:val="Els-table-text"/>
              <w:keepNext/>
              <w:spacing w:before="60" w:after="60" w:line="240" w:lineRule="auto"/>
              <w:ind w:left="-57" w:right="-57"/>
              <w:rPr>
                <w:rFonts w:ascii="Cambria" w:hAnsi="Cambria"/>
                <w:sz w:val="18"/>
              </w:rPr>
            </w:pPr>
            <w:r w:rsidRPr="00CA6939">
              <w:rPr>
                <w:rFonts w:ascii="Cambria" w:hAnsi="Cambria"/>
                <w:sz w:val="18"/>
              </w:rPr>
              <w:t xml:space="preserve">CPI </w:t>
            </w:r>
            <w:r w:rsidRPr="00CA6939">
              <w:rPr>
                <w:rFonts w:ascii="Cambria" w:hAnsi="Cambria"/>
              </w:rPr>
              <w:t>2013</w:t>
            </w:r>
          </w:p>
        </w:tc>
        <w:tc>
          <w:tcPr>
            <w:tcW w:w="992" w:type="dxa"/>
            <w:vAlign w:val="center"/>
          </w:tcPr>
          <w:p w:rsidR="004640BD" w:rsidRPr="00CA6939" w:rsidRDefault="004640BD" w:rsidP="00374A97">
            <w:pPr>
              <w:keepNext/>
              <w:spacing w:before="60" w:after="60"/>
              <w:ind w:firstLine="0"/>
              <w:jc w:val="left"/>
              <w:rPr>
                <w:sz w:val="18"/>
                <w:szCs w:val="18"/>
                <w:lang w:val="en-US"/>
              </w:rPr>
            </w:pPr>
            <w:r w:rsidRPr="00CA6939">
              <w:rPr>
                <w:sz w:val="18"/>
                <w:szCs w:val="18"/>
                <w:lang w:val="en-US"/>
              </w:rPr>
              <w:t>0.603</w:t>
            </w:r>
          </w:p>
        </w:tc>
        <w:tc>
          <w:tcPr>
            <w:tcW w:w="992" w:type="dxa"/>
            <w:vAlign w:val="center"/>
          </w:tcPr>
          <w:p w:rsidR="004640BD" w:rsidRPr="00CA6939" w:rsidRDefault="004640BD" w:rsidP="00374A97">
            <w:pPr>
              <w:keepNext/>
              <w:spacing w:before="60" w:after="60"/>
              <w:ind w:firstLine="0"/>
              <w:jc w:val="left"/>
              <w:rPr>
                <w:sz w:val="18"/>
                <w:szCs w:val="18"/>
                <w:lang w:val="en-US"/>
              </w:rPr>
            </w:pPr>
            <w:r w:rsidRPr="00CA6939">
              <w:rPr>
                <w:sz w:val="18"/>
                <w:szCs w:val="18"/>
                <w:lang w:val="en-US"/>
              </w:rPr>
              <w:t>0.520</w:t>
            </w:r>
          </w:p>
        </w:tc>
        <w:tc>
          <w:tcPr>
            <w:tcW w:w="992" w:type="dxa"/>
            <w:vAlign w:val="center"/>
          </w:tcPr>
          <w:p w:rsidR="004640BD" w:rsidRPr="00CA6939" w:rsidRDefault="004640BD" w:rsidP="00374A97">
            <w:pPr>
              <w:keepNext/>
              <w:spacing w:before="60" w:after="60"/>
              <w:ind w:firstLine="0"/>
              <w:jc w:val="left"/>
              <w:rPr>
                <w:sz w:val="18"/>
                <w:szCs w:val="18"/>
                <w:lang w:val="en-US"/>
              </w:rPr>
            </w:pPr>
            <w:r w:rsidRPr="00CA6939">
              <w:rPr>
                <w:sz w:val="18"/>
                <w:szCs w:val="18"/>
                <w:lang w:val="en-US"/>
              </w:rPr>
              <w:t>0.708</w:t>
            </w:r>
          </w:p>
        </w:tc>
        <w:tc>
          <w:tcPr>
            <w:tcW w:w="992" w:type="dxa"/>
            <w:vAlign w:val="center"/>
          </w:tcPr>
          <w:p w:rsidR="004640BD" w:rsidRPr="00CA6939" w:rsidRDefault="004640BD" w:rsidP="00374A97">
            <w:pPr>
              <w:keepNext/>
              <w:spacing w:before="60" w:after="60"/>
              <w:ind w:firstLine="0"/>
              <w:jc w:val="left"/>
              <w:rPr>
                <w:sz w:val="18"/>
                <w:szCs w:val="18"/>
                <w:lang w:val="en-US"/>
              </w:rPr>
            </w:pPr>
            <w:r w:rsidRPr="00CA6939">
              <w:rPr>
                <w:sz w:val="18"/>
                <w:szCs w:val="18"/>
                <w:lang w:val="en-US"/>
              </w:rPr>
              <w:t>0.722</w:t>
            </w:r>
          </w:p>
        </w:tc>
        <w:tc>
          <w:tcPr>
            <w:tcW w:w="992" w:type="dxa"/>
            <w:vAlign w:val="center"/>
          </w:tcPr>
          <w:p w:rsidR="004640BD" w:rsidRPr="00CA6939" w:rsidRDefault="004640BD" w:rsidP="00374A97">
            <w:pPr>
              <w:keepNext/>
              <w:spacing w:before="60" w:after="60"/>
              <w:ind w:firstLine="0"/>
              <w:jc w:val="left"/>
              <w:rPr>
                <w:sz w:val="18"/>
                <w:szCs w:val="18"/>
                <w:lang w:val="en-US"/>
              </w:rPr>
            </w:pPr>
            <w:r w:rsidRPr="00CA6939">
              <w:rPr>
                <w:sz w:val="18"/>
                <w:szCs w:val="18"/>
                <w:lang w:val="en-US"/>
              </w:rPr>
              <w:t>1.000</w:t>
            </w:r>
          </w:p>
        </w:tc>
        <w:tc>
          <w:tcPr>
            <w:tcW w:w="992" w:type="dxa"/>
            <w:vAlign w:val="center"/>
          </w:tcPr>
          <w:p w:rsidR="004640BD" w:rsidRPr="00CA6939" w:rsidRDefault="004640BD" w:rsidP="00374A97">
            <w:pPr>
              <w:keepNext/>
              <w:spacing w:before="60" w:after="60"/>
              <w:ind w:firstLine="0"/>
              <w:jc w:val="left"/>
              <w:rPr>
                <w:sz w:val="18"/>
                <w:szCs w:val="18"/>
                <w:lang w:val="en-US"/>
              </w:rPr>
            </w:pPr>
          </w:p>
        </w:tc>
        <w:tc>
          <w:tcPr>
            <w:tcW w:w="992" w:type="dxa"/>
            <w:vAlign w:val="center"/>
          </w:tcPr>
          <w:p w:rsidR="004640BD" w:rsidRPr="00CA6939" w:rsidRDefault="004640BD" w:rsidP="00374A97">
            <w:pPr>
              <w:keepNext/>
              <w:spacing w:before="60" w:after="60"/>
              <w:ind w:firstLine="0"/>
              <w:jc w:val="left"/>
              <w:rPr>
                <w:sz w:val="18"/>
                <w:szCs w:val="18"/>
                <w:lang w:val="en-US"/>
              </w:rPr>
            </w:pPr>
          </w:p>
        </w:tc>
        <w:tc>
          <w:tcPr>
            <w:tcW w:w="992" w:type="dxa"/>
            <w:vAlign w:val="center"/>
          </w:tcPr>
          <w:p w:rsidR="004640BD" w:rsidRPr="00CA6939" w:rsidRDefault="004640BD" w:rsidP="00374A97">
            <w:pPr>
              <w:keepNext/>
              <w:spacing w:before="60" w:after="60"/>
              <w:ind w:firstLine="0"/>
              <w:jc w:val="left"/>
              <w:rPr>
                <w:sz w:val="18"/>
                <w:szCs w:val="18"/>
                <w:lang w:val="en-US"/>
              </w:rPr>
            </w:pPr>
          </w:p>
        </w:tc>
      </w:tr>
      <w:tr w:rsidR="004640BD" w:rsidRPr="00CA6939" w:rsidTr="004640BD">
        <w:trPr>
          <w:trHeight w:val="126"/>
          <w:jc w:val="center"/>
        </w:trPr>
        <w:tc>
          <w:tcPr>
            <w:tcW w:w="992" w:type="dxa"/>
          </w:tcPr>
          <w:p w:rsidR="004640BD" w:rsidRPr="00CA6939" w:rsidRDefault="004640BD" w:rsidP="00374A97">
            <w:pPr>
              <w:pStyle w:val="Els-table-text"/>
              <w:keepNext/>
              <w:spacing w:before="60" w:after="60" w:line="240" w:lineRule="auto"/>
              <w:ind w:left="-57" w:right="-57"/>
              <w:rPr>
                <w:rFonts w:ascii="Cambria" w:hAnsi="Cambria"/>
                <w:sz w:val="18"/>
              </w:rPr>
            </w:pPr>
            <w:r w:rsidRPr="00CA6939">
              <w:rPr>
                <w:rFonts w:ascii="Cambria" w:hAnsi="Cambria"/>
                <w:sz w:val="18"/>
              </w:rPr>
              <w:t xml:space="preserve">CPI </w:t>
            </w:r>
            <w:r w:rsidRPr="00CA6939">
              <w:rPr>
                <w:rFonts w:ascii="Cambria" w:hAnsi="Cambria"/>
              </w:rPr>
              <w:t>2015</w:t>
            </w:r>
          </w:p>
        </w:tc>
        <w:tc>
          <w:tcPr>
            <w:tcW w:w="992" w:type="dxa"/>
            <w:vAlign w:val="center"/>
          </w:tcPr>
          <w:p w:rsidR="004640BD" w:rsidRPr="00CA6939" w:rsidRDefault="004640BD" w:rsidP="00374A97">
            <w:pPr>
              <w:keepNext/>
              <w:spacing w:before="60" w:after="60"/>
              <w:ind w:firstLine="0"/>
              <w:jc w:val="left"/>
              <w:rPr>
                <w:sz w:val="18"/>
                <w:szCs w:val="18"/>
                <w:lang w:val="en-US"/>
              </w:rPr>
            </w:pPr>
            <w:r w:rsidRPr="00CA6939">
              <w:rPr>
                <w:sz w:val="18"/>
                <w:szCs w:val="18"/>
                <w:lang w:val="en-US"/>
              </w:rPr>
              <w:t>0.606</w:t>
            </w:r>
          </w:p>
        </w:tc>
        <w:tc>
          <w:tcPr>
            <w:tcW w:w="992" w:type="dxa"/>
            <w:vAlign w:val="center"/>
          </w:tcPr>
          <w:p w:rsidR="004640BD" w:rsidRPr="00CA6939" w:rsidRDefault="004640BD" w:rsidP="00374A97">
            <w:pPr>
              <w:keepNext/>
              <w:spacing w:before="60" w:after="60"/>
              <w:ind w:firstLine="0"/>
              <w:jc w:val="left"/>
              <w:rPr>
                <w:sz w:val="18"/>
                <w:szCs w:val="18"/>
                <w:lang w:val="en-US"/>
              </w:rPr>
            </w:pPr>
            <w:r w:rsidRPr="00CA6939">
              <w:rPr>
                <w:sz w:val="18"/>
                <w:szCs w:val="18"/>
                <w:lang w:val="en-US"/>
              </w:rPr>
              <w:t>0.548</w:t>
            </w:r>
          </w:p>
        </w:tc>
        <w:tc>
          <w:tcPr>
            <w:tcW w:w="992" w:type="dxa"/>
            <w:vAlign w:val="center"/>
          </w:tcPr>
          <w:p w:rsidR="004640BD" w:rsidRPr="00CA6939" w:rsidRDefault="004640BD" w:rsidP="00374A97">
            <w:pPr>
              <w:keepNext/>
              <w:spacing w:before="60" w:after="60"/>
              <w:ind w:firstLine="0"/>
              <w:jc w:val="left"/>
              <w:rPr>
                <w:sz w:val="18"/>
                <w:szCs w:val="18"/>
                <w:lang w:val="en-US"/>
              </w:rPr>
            </w:pPr>
            <w:r w:rsidRPr="00CA6939">
              <w:rPr>
                <w:sz w:val="18"/>
                <w:szCs w:val="18"/>
                <w:lang w:val="en-US"/>
              </w:rPr>
              <w:t>0.699</w:t>
            </w:r>
          </w:p>
        </w:tc>
        <w:tc>
          <w:tcPr>
            <w:tcW w:w="992" w:type="dxa"/>
            <w:vAlign w:val="center"/>
          </w:tcPr>
          <w:p w:rsidR="004640BD" w:rsidRPr="00CA6939" w:rsidRDefault="004640BD" w:rsidP="00374A97">
            <w:pPr>
              <w:keepNext/>
              <w:spacing w:before="60" w:after="60"/>
              <w:ind w:firstLine="0"/>
              <w:jc w:val="left"/>
              <w:rPr>
                <w:sz w:val="18"/>
                <w:szCs w:val="18"/>
                <w:lang w:val="en-US"/>
              </w:rPr>
            </w:pPr>
            <w:r w:rsidRPr="00CA6939">
              <w:rPr>
                <w:sz w:val="18"/>
                <w:szCs w:val="18"/>
                <w:lang w:val="en-US"/>
              </w:rPr>
              <w:t>0.726</w:t>
            </w:r>
          </w:p>
        </w:tc>
        <w:tc>
          <w:tcPr>
            <w:tcW w:w="992" w:type="dxa"/>
            <w:vAlign w:val="center"/>
          </w:tcPr>
          <w:p w:rsidR="004640BD" w:rsidRPr="00CA6939" w:rsidRDefault="004640BD" w:rsidP="00374A97">
            <w:pPr>
              <w:keepNext/>
              <w:spacing w:before="60" w:after="60"/>
              <w:ind w:firstLine="0"/>
              <w:jc w:val="left"/>
              <w:rPr>
                <w:sz w:val="18"/>
                <w:szCs w:val="18"/>
                <w:lang w:val="en-US"/>
              </w:rPr>
            </w:pPr>
            <w:r w:rsidRPr="00CA6939">
              <w:rPr>
                <w:sz w:val="18"/>
                <w:szCs w:val="18"/>
                <w:lang w:val="en-US"/>
              </w:rPr>
              <w:t>0.985</w:t>
            </w:r>
          </w:p>
        </w:tc>
        <w:tc>
          <w:tcPr>
            <w:tcW w:w="992" w:type="dxa"/>
            <w:vAlign w:val="center"/>
          </w:tcPr>
          <w:p w:rsidR="004640BD" w:rsidRPr="00CA6939" w:rsidRDefault="004640BD" w:rsidP="00374A97">
            <w:pPr>
              <w:keepNext/>
              <w:spacing w:before="60" w:after="60"/>
              <w:ind w:firstLine="0"/>
              <w:jc w:val="left"/>
              <w:rPr>
                <w:sz w:val="18"/>
                <w:szCs w:val="18"/>
                <w:lang w:val="en-US"/>
              </w:rPr>
            </w:pPr>
            <w:r w:rsidRPr="00CA6939">
              <w:rPr>
                <w:sz w:val="18"/>
                <w:szCs w:val="18"/>
                <w:lang w:val="en-US"/>
              </w:rPr>
              <w:t>1.000</w:t>
            </w:r>
          </w:p>
        </w:tc>
        <w:tc>
          <w:tcPr>
            <w:tcW w:w="992" w:type="dxa"/>
            <w:vAlign w:val="center"/>
          </w:tcPr>
          <w:p w:rsidR="004640BD" w:rsidRPr="00CA6939" w:rsidRDefault="004640BD" w:rsidP="00374A97">
            <w:pPr>
              <w:keepNext/>
              <w:spacing w:before="60" w:after="60"/>
              <w:ind w:firstLine="0"/>
              <w:jc w:val="left"/>
              <w:rPr>
                <w:sz w:val="18"/>
                <w:szCs w:val="18"/>
                <w:lang w:val="en-US"/>
              </w:rPr>
            </w:pPr>
          </w:p>
        </w:tc>
        <w:tc>
          <w:tcPr>
            <w:tcW w:w="992" w:type="dxa"/>
            <w:vAlign w:val="center"/>
          </w:tcPr>
          <w:p w:rsidR="004640BD" w:rsidRPr="00CA6939" w:rsidRDefault="004640BD" w:rsidP="00374A97">
            <w:pPr>
              <w:keepNext/>
              <w:spacing w:before="60" w:after="60"/>
              <w:ind w:firstLine="0"/>
              <w:jc w:val="left"/>
              <w:rPr>
                <w:sz w:val="18"/>
                <w:szCs w:val="18"/>
                <w:lang w:val="en-US"/>
              </w:rPr>
            </w:pPr>
          </w:p>
        </w:tc>
      </w:tr>
      <w:tr w:rsidR="004640BD" w:rsidRPr="00CA6939" w:rsidTr="004640BD">
        <w:trPr>
          <w:trHeight w:val="126"/>
          <w:jc w:val="center"/>
        </w:trPr>
        <w:tc>
          <w:tcPr>
            <w:tcW w:w="992" w:type="dxa"/>
          </w:tcPr>
          <w:p w:rsidR="004640BD" w:rsidRPr="00CA6939" w:rsidRDefault="004640BD" w:rsidP="00374A97">
            <w:pPr>
              <w:pStyle w:val="Els-table-text"/>
              <w:keepNext/>
              <w:spacing w:before="60" w:after="60" w:line="240" w:lineRule="auto"/>
              <w:ind w:left="-57" w:right="-57"/>
              <w:rPr>
                <w:rFonts w:ascii="Cambria" w:hAnsi="Cambria"/>
                <w:sz w:val="18"/>
              </w:rPr>
            </w:pPr>
            <w:r w:rsidRPr="00CA6939">
              <w:rPr>
                <w:rFonts w:ascii="Cambria" w:hAnsi="Cambria"/>
                <w:sz w:val="18"/>
              </w:rPr>
              <w:t xml:space="preserve">CCI </w:t>
            </w:r>
            <w:r w:rsidRPr="00CA6939">
              <w:rPr>
                <w:rFonts w:ascii="Cambria" w:hAnsi="Cambria"/>
              </w:rPr>
              <w:t>2013</w:t>
            </w:r>
          </w:p>
        </w:tc>
        <w:tc>
          <w:tcPr>
            <w:tcW w:w="992" w:type="dxa"/>
            <w:vAlign w:val="center"/>
          </w:tcPr>
          <w:p w:rsidR="004640BD" w:rsidRPr="00CA6939" w:rsidRDefault="004640BD" w:rsidP="00374A97">
            <w:pPr>
              <w:keepNext/>
              <w:spacing w:before="60" w:after="60"/>
              <w:ind w:firstLine="0"/>
              <w:jc w:val="left"/>
              <w:rPr>
                <w:sz w:val="18"/>
                <w:szCs w:val="18"/>
                <w:lang w:val="en-US"/>
              </w:rPr>
            </w:pPr>
            <w:r w:rsidRPr="00CA6939">
              <w:rPr>
                <w:sz w:val="18"/>
                <w:szCs w:val="18"/>
                <w:lang w:val="en-US"/>
              </w:rPr>
              <w:t>0.579</w:t>
            </w:r>
          </w:p>
        </w:tc>
        <w:tc>
          <w:tcPr>
            <w:tcW w:w="992" w:type="dxa"/>
            <w:vAlign w:val="center"/>
          </w:tcPr>
          <w:p w:rsidR="004640BD" w:rsidRPr="00CA6939" w:rsidRDefault="004640BD" w:rsidP="00374A97">
            <w:pPr>
              <w:keepNext/>
              <w:spacing w:before="60" w:after="60"/>
              <w:ind w:firstLine="0"/>
              <w:jc w:val="left"/>
              <w:rPr>
                <w:sz w:val="18"/>
                <w:szCs w:val="18"/>
                <w:lang w:val="en-US"/>
              </w:rPr>
            </w:pPr>
            <w:r w:rsidRPr="00CA6939">
              <w:rPr>
                <w:sz w:val="18"/>
                <w:szCs w:val="18"/>
                <w:lang w:val="en-US"/>
              </w:rPr>
              <w:t>0.526</w:t>
            </w:r>
          </w:p>
        </w:tc>
        <w:tc>
          <w:tcPr>
            <w:tcW w:w="992" w:type="dxa"/>
            <w:vAlign w:val="center"/>
          </w:tcPr>
          <w:p w:rsidR="004640BD" w:rsidRPr="00CA6939" w:rsidRDefault="004640BD" w:rsidP="00374A97">
            <w:pPr>
              <w:keepNext/>
              <w:spacing w:before="60" w:after="60"/>
              <w:ind w:firstLine="0"/>
              <w:jc w:val="left"/>
              <w:rPr>
                <w:sz w:val="18"/>
                <w:szCs w:val="18"/>
                <w:lang w:val="en-US"/>
              </w:rPr>
            </w:pPr>
            <w:r w:rsidRPr="00CA6939">
              <w:rPr>
                <w:sz w:val="18"/>
                <w:szCs w:val="18"/>
                <w:lang w:val="en-US"/>
              </w:rPr>
              <w:t>0.728</w:t>
            </w:r>
          </w:p>
        </w:tc>
        <w:tc>
          <w:tcPr>
            <w:tcW w:w="992" w:type="dxa"/>
            <w:vAlign w:val="center"/>
          </w:tcPr>
          <w:p w:rsidR="004640BD" w:rsidRPr="00CA6939" w:rsidRDefault="004640BD" w:rsidP="00374A97">
            <w:pPr>
              <w:keepNext/>
              <w:spacing w:before="60" w:after="60"/>
              <w:ind w:firstLine="0"/>
              <w:jc w:val="left"/>
              <w:rPr>
                <w:sz w:val="18"/>
                <w:szCs w:val="18"/>
                <w:lang w:val="en-US"/>
              </w:rPr>
            </w:pPr>
            <w:r w:rsidRPr="00CA6939">
              <w:rPr>
                <w:sz w:val="18"/>
                <w:szCs w:val="18"/>
                <w:lang w:val="en-US"/>
              </w:rPr>
              <w:t>0.734</w:t>
            </w:r>
          </w:p>
        </w:tc>
        <w:tc>
          <w:tcPr>
            <w:tcW w:w="992" w:type="dxa"/>
            <w:vAlign w:val="center"/>
          </w:tcPr>
          <w:p w:rsidR="004640BD" w:rsidRPr="00CA6939" w:rsidRDefault="004640BD" w:rsidP="00374A97">
            <w:pPr>
              <w:keepNext/>
              <w:spacing w:before="60" w:after="60"/>
              <w:ind w:firstLine="0"/>
              <w:jc w:val="left"/>
              <w:rPr>
                <w:sz w:val="18"/>
                <w:szCs w:val="18"/>
                <w:lang w:val="en-US"/>
              </w:rPr>
            </w:pPr>
            <w:r w:rsidRPr="00CA6939">
              <w:rPr>
                <w:sz w:val="18"/>
                <w:szCs w:val="18"/>
                <w:lang w:val="en-US"/>
              </w:rPr>
              <w:t>0.989</w:t>
            </w:r>
          </w:p>
        </w:tc>
        <w:tc>
          <w:tcPr>
            <w:tcW w:w="992" w:type="dxa"/>
            <w:vAlign w:val="center"/>
          </w:tcPr>
          <w:p w:rsidR="004640BD" w:rsidRPr="00CA6939" w:rsidRDefault="004640BD" w:rsidP="00374A97">
            <w:pPr>
              <w:keepNext/>
              <w:spacing w:before="60" w:after="60"/>
              <w:ind w:firstLine="0"/>
              <w:jc w:val="left"/>
              <w:rPr>
                <w:sz w:val="18"/>
                <w:szCs w:val="18"/>
                <w:lang w:val="en-US"/>
              </w:rPr>
            </w:pPr>
            <w:r w:rsidRPr="00CA6939">
              <w:rPr>
                <w:sz w:val="18"/>
                <w:szCs w:val="18"/>
                <w:lang w:val="en-US"/>
              </w:rPr>
              <w:t>0.982</w:t>
            </w:r>
          </w:p>
        </w:tc>
        <w:tc>
          <w:tcPr>
            <w:tcW w:w="992" w:type="dxa"/>
            <w:vAlign w:val="center"/>
          </w:tcPr>
          <w:p w:rsidR="004640BD" w:rsidRPr="00CA6939" w:rsidRDefault="004640BD" w:rsidP="00374A97">
            <w:pPr>
              <w:keepNext/>
              <w:spacing w:before="60" w:after="60"/>
              <w:ind w:firstLine="0"/>
              <w:jc w:val="left"/>
              <w:rPr>
                <w:sz w:val="18"/>
                <w:szCs w:val="18"/>
                <w:lang w:val="en-US"/>
              </w:rPr>
            </w:pPr>
            <w:r w:rsidRPr="00CA6939">
              <w:rPr>
                <w:sz w:val="18"/>
                <w:szCs w:val="18"/>
                <w:lang w:val="en-US"/>
              </w:rPr>
              <w:t>1.000</w:t>
            </w:r>
          </w:p>
        </w:tc>
        <w:tc>
          <w:tcPr>
            <w:tcW w:w="992" w:type="dxa"/>
            <w:vAlign w:val="center"/>
          </w:tcPr>
          <w:p w:rsidR="004640BD" w:rsidRPr="00CA6939" w:rsidRDefault="004640BD" w:rsidP="00374A97">
            <w:pPr>
              <w:keepNext/>
              <w:spacing w:before="60" w:after="60"/>
              <w:ind w:firstLine="0"/>
              <w:jc w:val="left"/>
              <w:rPr>
                <w:sz w:val="18"/>
                <w:szCs w:val="18"/>
                <w:lang w:val="en-US"/>
              </w:rPr>
            </w:pPr>
          </w:p>
        </w:tc>
      </w:tr>
      <w:tr w:rsidR="004640BD" w:rsidRPr="00CA6939" w:rsidTr="004640BD">
        <w:trPr>
          <w:trHeight w:val="126"/>
          <w:jc w:val="center"/>
        </w:trPr>
        <w:tc>
          <w:tcPr>
            <w:tcW w:w="992" w:type="dxa"/>
            <w:tcBorders>
              <w:bottom w:val="single" w:sz="4" w:space="0" w:color="auto"/>
            </w:tcBorders>
          </w:tcPr>
          <w:p w:rsidR="004640BD" w:rsidRPr="00CA6939" w:rsidRDefault="004640BD" w:rsidP="00374A97">
            <w:pPr>
              <w:pStyle w:val="Els-table-text"/>
              <w:keepNext/>
              <w:spacing w:before="60" w:after="60" w:line="240" w:lineRule="auto"/>
              <w:ind w:left="-57" w:right="-57"/>
              <w:rPr>
                <w:rFonts w:ascii="Cambria" w:hAnsi="Cambria"/>
                <w:sz w:val="18"/>
              </w:rPr>
            </w:pPr>
            <w:r w:rsidRPr="00CA6939">
              <w:rPr>
                <w:rFonts w:ascii="Cambria" w:hAnsi="Cambria"/>
                <w:sz w:val="18"/>
              </w:rPr>
              <w:t xml:space="preserve">CCI </w:t>
            </w:r>
            <w:r w:rsidRPr="00CA6939">
              <w:rPr>
                <w:rFonts w:ascii="Cambria" w:hAnsi="Cambria"/>
              </w:rPr>
              <w:t>2015</w:t>
            </w:r>
          </w:p>
        </w:tc>
        <w:tc>
          <w:tcPr>
            <w:tcW w:w="992" w:type="dxa"/>
            <w:tcBorders>
              <w:bottom w:val="single" w:sz="4" w:space="0" w:color="auto"/>
            </w:tcBorders>
            <w:vAlign w:val="center"/>
          </w:tcPr>
          <w:p w:rsidR="004640BD" w:rsidRPr="00CA6939" w:rsidRDefault="004640BD" w:rsidP="00374A97">
            <w:pPr>
              <w:keepNext/>
              <w:spacing w:before="60" w:after="60"/>
              <w:ind w:firstLine="0"/>
              <w:jc w:val="left"/>
              <w:rPr>
                <w:sz w:val="18"/>
                <w:szCs w:val="18"/>
                <w:lang w:val="en-US"/>
              </w:rPr>
            </w:pPr>
            <w:r w:rsidRPr="00CA6939">
              <w:rPr>
                <w:sz w:val="18"/>
                <w:szCs w:val="18"/>
                <w:lang w:val="en-US"/>
              </w:rPr>
              <w:t>0.546</w:t>
            </w:r>
          </w:p>
        </w:tc>
        <w:tc>
          <w:tcPr>
            <w:tcW w:w="992" w:type="dxa"/>
            <w:tcBorders>
              <w:bottom w:val="single" w:sz="4" w:space="0" w:color="auto"/>
            </w:tcBorders>
            <w:vAlign w:val="center"/>
          </w:tcPr>
          <w:p w:rsidR="004640BD" w:rsidRPr="00CA6939" w:rsidRDefault="004640BD" w:rsidP="00374A97">
            <w:pPr>
              <w:keepNext/>
              <w:spacing w:before="60" w:after="60"/>
              <w:ind w:firstLine="0"/>
              <w:jc w:val="left"/>
              <w:rPr>
                <w:sz w:val="18"/>
                <w:szCs w:val="18"/>
                <w:lang w:val="en-US"/>
              </w:rPr>
            </w:pPr>
            <w:r w:rsidRPr="00CA6939">
              <w:rPr>
                <w:sz w:val="18"/>
                <w:szCs w:val="18"/>
                <w:lang w:val="en-US"/>
              </w:rPr>
              <w:t>0.485</w:t>
            </w:r>
          </w:p>
        </w:tc>
        <w:tc>
          <w:tcPr>
            <w:tcW w:w="992" w:type="dxa"/>
            <w:tcBorders>
              <w:bottom w:val="single" w:sz="4" w:space="0" w:color="auto"/>
            </w:tcBorders>
            <w:vAlign w:val="center"/>
          </w:tcPr>
          <w:p w:rsidR="004640BD" w:rsidRPr="00CA6939" w:rsidRDefault="004640BD" w:rsidP="00374A97">
            <w:pPr>
              <w:keepNext/>
              <w:spacing w:before="60" w:after="60"/>
              <w:ind w:firstLine="0"/>
              <w:jc w:val="left"/>
              <w:rPr>
                <w:sz w:val="18"/>
                <w:szCs w:val="18"/>
                <w:lang w:val="en-US"/>
              </w:rPr>
            </w:pPr>
            <w:r w:rsidRPr="00CA6939">
              <w:rPr>
                <w:sz w:val="18"/>
                <w:szCs w:val="18"/>
                <w:lang w:val="en-US"/>
              </w:rPr>
              <w:t>0.706</w:t>
            </w:r>
          </w:p>
        </w:tc>
        <w:tc>
          <w:tcPr>
            <w:tcW w:w="992" w:type="dxa"/>
            <w:tcBorders>
              <w:bottom w:val="single" w:sz="4" w:space="0" w:color="auto"/>
            </w:tcBorders>
            <w:vAlign w:val="center"/>
          </w:tcPr>
          <w:p w:rsidR="004640BD" w:rsidRPr="00CA6939" w:rsidRDefault="004640BD" w:rsidP="00374A97">
            <w:pPr>
              <w:keepNext/>
              <w:spacing w:before="60" w:after="60"/>
              <w:ind w:firstLine="0"/>
              <w:jc w:val="left"/>
              <w:rPr>
                <w:sz w:val="18"/>
                <w:szCs w:val="18"/>
                <w:lang w:val="en-US"/>
              </w:rPr>
            </w:pPr>
            <w:r w:rsidRPr="00CA6939">
              <w:rPr>
                <w:sz w:val="18"/>
                <w:szCs w:val="18"/>
                <w:lang w:val="en-US"/>
              </w:rPr>
              <w:t>0.714</w:t>
            </w:r>
          </w:p>
        </w:tc>
        <w:tc>
          <w:tcPr>
            <w:tcW w:w="992" w:type="dxa"/>
            <w:tcBorders>
              <w:bottom w:val="single" w:sz="4" w:space="0" w:color="auto"/>
            </w:tcBorders>
            <w:vAlign w:val="center"/>
          </w:tcPr>
          <w:p w:rsidR="004640BD" w:rsidRPr="00CA6939" w:rsidRDefault="004640BD" w:rsidP="00374A97">
            <w:pPr>
              <w:keepNext/>
              <w:spacing w:before="60" w:after="60"/>
              <w:ind w:firstLine="0"/>
              <w:jc w:val="left"/>
              <w:rPr>
                <w:sz w:val="18"/>
                <w:szCs w:val="18"/>
                <w:lang w:val="en-US"/>
              </w:rPr>
            </w:pPr>
            <w:r w:rsidRPr="00CA6939">
              <w:rPr>
                <w:sz w:val="18"/>
                <w:szCs w:val="18"/>
                <w:lang w:val="en-US"/>
              </w:rPr>
              <w:t>0.981</w:t>
            </w:r>
          </w:p>
        </w:tc>
        <w:tc>
          <w:tcPr>
            <w:tcW w:w="992" w:type="dxa"/>
            <w:tcBorders>
              <w:bottom w:val="single" w:sz="4" w:space="0" w:color="auto"/>
            </w:tcBorders>
            <w:vAlign w:val="center"/>
          </w:tcPr>
          <w:p w:rsidR="004640BD" w:rsidRPr="00CA6939" w:rsidRDefault="004640BD" w:rsidP="00374A97">
            <w:pPr>
              <w:keepNext/>
              <w:spacing w:before="60" w:after="60"/>
              <w:ind w:firstLine="0"/>
              <w:jc w:val="left"/>
              <w:rPr>
                <w:sz w:val="18"/>
                <w:szCs w:val="18"/>
                <w:lang w:val="en-US"/>
              </w:rPr>
            </w:pPr>
            <w:r w:rsidRPr="00CA6939">
              <w:rPr>
                <w:sz w:val="18"/>
                <w:szCs w:val="18"/>
                <w:lang w:val="en-US"/>
              </w:rPr>
              <w:t>0.984</w:t>
            </w:r>
          </w:p>
        </w:tc>
        <w:tc>
          <w:tcPr>
            <w:tcW w:w="992" w:type="dxa"/>
            <w:tcBorders>
              <w:bottom w:val="single" w:sz="4" w:space="0" w:color="auto"/>
            </w:tcBorders>
            <w:vAlign w:val="center"/>
          </w:tcPr>
          <w:p w:rsidR="004640BD" w:rsidRPr="00CA6939" w:rsidRDefault="004640BD" w:rsidP="00374A97">
            <w:pPr>
              <w:keepNext/>
              <w:spacing w:before="60" w:after="60"/>
              <w:ind w:firstLine="0"/>
              <w:jc w:val="left"/>
              <w:rPr>
                <w:sz w:val="18"/>
                <w:szCs w:val="18"/>
                <w:lang w:val="en-US"/>
              </w:rPr>
            </w:pPr>
            <w:r w:rsidRPr="00CA6939">
              <w:rPr>
                <w:sz w:val="18"/>
                <w:szCs w:val="18"/>
                <w:lang w:val="en-US"/>
              </w:rPr>
              <w:t>0.986</w:t>
            </w:r>
          </w:p>
        </w:tc>
        <w:tc>
          <w:tcPr>
            <w:tcW w:w="992" w:type="dxa"/>
            <w:tcBorders>
              <w:bottom w:val="single" w:sz="4" w:space="0" w:color="auto"/>
            </w:tcBorders>
            <w:vAlign w:val="center"/>
          </w:tcPr>
          <w:p w:rsidR="004640BD" w:rsidRPr="00CA6939" w:rsidRDefault="004640BD" w:rsidP="00374A97">
            <w:pPr>
              <w:keepNext/>
              <w:spacing w:before="60" w:after="60"/>
              <w:ind w:firstLine="0"/>
              <w:jc w:val="left"/>
              <w:rPr>
                <w:sz w:val="18"/>
                <w:szCs w:val="18"/>
                <w:lang w:val="en-US"/>
              </w:rPr>
            </w:pPr>
            <w:r w:rsidRPr="00CA6939">
              <w:rPr>
                <w:sz w:val="18"/>
                <w:szCs w:val="18"/>
                <w:lang w:val="en-US"/>
              </w:rPr>
              <w:t>1.000</w:t>
            </w:r>
          </w:p>
        </w:tc>
      </w:tr>
    </w:tbl>
    <w:p w:rsidR="00211B14" w:rsidRPr="00CA6939" w:rsidRDefault="00211B14" w:rsidP="00211B14">
      <w:pPr>
        <w:rPr>
          <w:lang w:val="en-US"/>
        </w:rPr>
      </w:pPr>
    </w:p>
    <w:p w:rsidR="00211B14" w:rsidRPr="00CA6939" w:rsidRDefault="00C57C9E" w:rsidP="00336387">
      <w:pPr>
        <w:pStyle w:val="Els-caption"/>
        <w:keepNext/>
        <w:spacing w:before="120" w:after="120"/>
        <w:jc w:val="center"/>
        <w:rPr>
          <w:rFonts w:ascii="Cambria" w:hAnsi="Cambria"/>
          <w:b/>
          <w:sz w:val="18"/>
        </w:rPr>
      </w:pPr>
      <w:r w:rsidRPr="00CA6939">
        <w:rPr>
          <w:rFonts w:ascii="Cambria" w:hAnsi="Cambria"/>
          <w:b/>
          <w:sz w:val="18"/>
        </w:rPr>
        <w:lastRenderedPageBreak/>
        <w:t>Table 4</w:t>
      </w:r>
      <w:r w:rsidR="00211B14" w:rsidRPr="00CA6939">
        <w:rPr>
          <w:rFonts w:ascii="Cambria" w:hAnsi="Cambria"/>
          <w:b/>
          <w:sz w:val="18"/>
        </w:rPr>
        <w:t>. Kendall tau correlations (Source: Author)</w:t>
      </w:r>
    </w:p>
    <w:tbl>
      <w:tblPr>
        <w:tblW w:w="8928" w:type="dxa"/>
        <w:jc w:val="center"/>
        <w:tblLook w:val="01E0" w:firstRow="1" w:lastRow="1" w:firstColumn="1" w:lastColumn="1" w:noHBand="0" w:noVBand="0"/>
      </w:tblPr>
      <w:tblGrid>
        <w:gridCol w:w="992"/>
        <w:gridCol w:w="992"/>
        <w:gridCol w:w="992"/>
        <w:gridCol w:w="992"/>
        <w:gridCol w:w="992"/>
        <w:gridCol w:w="992"/>
        <w:gridCol w:w="992"/>
        <w:gridCol w:w="992"/>
        <w:gridCol w:w="992"/>
      </w:tblGrid>
      <w:tr w:rsidR="00211B14" w:rsidRPr="00CA6939" w:rsidTr="003365C9">
        <w:trPr>
          <w:trHeight w:val="132"/>
          <w:jc w:val="center"/>
        </w:trPr>
        <w:tc>
          <w:tcPr>
            <w:tcW w:w="992" w:type="dxa"/>
            <w:tcBorders>
              <w:top w:val="single" w:sz="4" w:space="0" w:color="auto"/>
              <w:bottom w:val="single" w:sz="4" w:space="0" w:color="auto"/>
            </w:tcBorders>
            <w:shd w:val="clear" w:color="auto" w:fill="D9D9D9"/>
          </w:tcPr>
          <w:p w:rsidR="00211B14" w:rsidRPr="00CA6939" w:rsidRDefault="00211B14" w:rsidP="00336387">
            <w:pPr>
              <w:pStyle w:val="Els-table-text"/>
              <w:keepNext/>
              <w:spacing w:before="60" w:after="60" w:line="240" w:lineRule="auto"/>
              <w:ind w:left="-57" w:right="-57"/>
              <w:rPr>
                <w:rFonts w:ascii="Cambria" w:hAnsi="Cambria"/>
                <w:b/>
                <w:sz w:val="18"/>
              </w:rPr>
            </w:pPr>
          </w:p>
        </w:tc>
        <w:tc>
          <w:tcPr>
            <w:tcW w:w="992" w:type="dxa"/>
            <w:tcBorders>
              <w:top w:val="single" w:sz="4" w:space="0" w:color="auto"/>
              <w:bottom w:val="single" w:sz="4" w:space="0" w:color="auto"/>
            </w:tcBorders>
            <w:shd w:val="clear" w:color="auto" w:fill="D9D9D9"/>
          </w:tcPr>
          <w:p w:rsidR="00211B14" w:rsidRPr="00CA6939" w:rsidRDefault="00211B14" w:rsidP="00336387">
            <w:pPr>
              <w:pStyle w:val="Els-table-text"/>
              <w:keepNext/>
              <w:spacing w:before="60" w:after="60" w:line="240" w:lineRule="auto"/>
              <w:ind w:left="-57" w:right="-57"/>
              <w:rPr>
                <w:rFonts w:ascii="Cambria" w:hAnsi="Cambria"/>
                <w:b/>
                <w:sz w:val="18"/>
              </w:rPr>
            </w:pPr>
            <w:r w:rsidRPr="00CA6939">
              <w:rPr>
                <w:rFonts w:ascii="Cambria" w:hAnsi="Cambria"/>
                <w:b/>
                <w:sz w:val="18"/>
              </w:rPr>
              <w:t xml:space="preserve">GODI </w:t>
            </w:r>
            <w:r w:rsidRPr="00CA6939">
              <w:rPr>
                <w:rFonts w:ascii="Cambria" w:hAnsi="Cambria"/>
                <w:b/>
              </w:rPr>
              <w:t>2013</w:t>
            </w:r>
          </w:p>
        </w:tc>
        <w:tc>
          <w:tcPr>
            <w:tcW w:w="992" w:type="dxa"/>
            <w:tcBorders>
              <w:top w:val="single" w:sz="4" w:space="0" w:color="auto"/>
              <w:bottom w:val="single" w:sz="4" w:space="0" w:color="auto"/>
            </w:tcBorders>
            <w:shd w:val="clear" w:color="auto" w:fill="D9D9D9"/>
          </w:tcPr>
          <w:p w:rsidR="00211B14" w:rsidRPr="00CA6939" w:rsidRDefault="00211B14" w:rsidP="00336387">
            <w:pPr>
              <w:pStyle w:val="Els-table-text"/>
              <w:keepNext/>
              <w:spacing w:before="60" w:after="60" w:line="240" w:lineRule="auto"/>
              <w:ind w:left="-57" w:right="-57"/>
              <w:rPr>
                <w:rFonts w:ascii="Cambria" w:hAnsi="Cambria"/>
                <w:b/>
                <w:sz w:val="18"/>
              </w:rPr>
            </w:pPr>
            <w:r w:rsidRPr="00CA6939">
              <w:rPr>
                <w:rFonts w:ascii="Cambria" w:hAnsi="Cambria"/>
                <w:b/>
                <w:sz w:val="18"/>
              </w:rPr>
              <w:t xml:space="preserve">GODI </w:t>
            </w:r>
            <w:r w:rsidRPr="00CA6939">
              <w:rPr>
                <w:rFonts w:ascii="Cambria" w:hAnsi="Cambria"/>
                <w:b/>
              </w:rPr>
              <w:t>2015</w:t>
            </w:r>
          </w:p>
        </w:tc>
        <w:tc>
          <w:tcPr>
            <w:tcW w:w="992" w:type="dxa"/>
            <w:tcBorders>
              <w:top w:val="single" w:sz="4" w:space="0" w:color="auto"/>
              <w:bottom w:val="single" w:sz="4" w:space="0" w:color="auto"/>
            </w:tcBorders>
            <w:shd w:val="clear" w:color="auto" w:fill="D9D9D9"/>
          </w:tcPr>
          <w:p w:rsidR="00211B14" w:rsidRPr="00CA6939" w:rsidRDefault="00211B14" w:rsidP="00336387">
            <w:pPr>
              <w:pStyle w:val="Els-table-text"/>
              <w:keepNext/>
              <w:spacing w:before="60" w:after="60" w:line="240" w:lineRule="auto"/>
              <w:ind w:left="-57" w:right="-57"/>
              <w:rPr>
                <w:rFonts w:ascii="Cambria" w:hAnsi="Cambria"/>
                <w:b/>
                <w:sz w:val="18"/>
              </w:rPr>
            </w:pPr>
            <w:r w:rsidRPr="00CA6939">
              <w:rPr>
                <w:rFonts w:ascii="Cambria" w:hAnsi="Cambria"/>
                <w:b/>
                <w:sz w:val="18"/>
              </w:rPr>
              <w:t xml:space="preserve">ODBI </w:t>
            </w:r>
            <w:r w:rsidRPr="00CA6939">
              <w:rPr>
                <w:rFonts w:ascii="Cambria" w:hAnsi="Cambria"/>
                <w:b/>
              </w:rPr>
              <w:t>2013</w:t>
            </w:r>
          </w:p>
        </w:tc>
        <w:tc>
          <w:tcPr>
            <w:tcW w:w="992" w:type="dxa"/>
            <w:tcBorders>
              <w:top w:val="single" w:sz="4" w:space="0" w:color="auto"/>
              <w:bottom w:val="single" w:sz="4" w:space="0" w:color="auto"/>
            </w:tcBorders>
            <w:shd w:val="clear" w:color="auto" w:fill="D9D9D9"/>
          </w:tcPr>
          <w:p w:rsidR="00211B14" w:rsidRPr="00CA6939" w:rsidRDefault="00211B14" w:rsidP="00336387">
            <w:pPr>
              <w:pStyle w:val="Els-table-text"/>
              <w:keepNext/>
              <w:spacing w:before="60" w:after="60" w:line="240" w:lineRule="auto"/>
              <w:ind w:left="-57" w:right="-57"/>
              <w:rPr>
                <w:rFonts w:ascii="Cambria" w:hAnsi="Cambria"/>
                <w:b/>
                <w:sz w:val="18"/>
              </w:rPr>
            </w:pPr>
            <w:r w:rsidRPr="00CA6939">
              <w:rPr>
                <w:rFonts w:ascii="Cambria" w:hAnsi="Cambria"/>
                <w:b/>
                <w:sz w:val="18"/>
              </w:rPr>
              <w:t xml:space="preserve">ODBI </w:t>
            </w:r>
            <w:r w:rsidRPr="00CA6939">
              <w:rPr>
                <w:rFonts w:ascii="Cambria" w:hAnsi="Cambria"/>
                <w:b/>
              </w:rPr>
              <w:t>2015</w:t>
            </w:r>
          </w:p>
        </w:tc>
        <w:tc>
          <w:tcPr>
            <w:tcW w:w="992" w:type="dxa"/>
            <w:tcBorders>
              <w:top w:val="single" w:sz="4" w:space="0" w:color="auto"/>
              <w:bottom w:val="single" w:sz="4" w:space="0" w:color="auto"/>
            </w:tcBorders>
            <w:shd w:val="clear" w:color="auto" w:fill="D9D9D9"/>
          </w:tcPr>
          <w:p w:rsidR="00211B14" w:rsidRPr="00CA6939" w:rsidRDefault="00211B14" w:rsidP="00336387">
            <w:pPr>
              <w:pStyle w:val="Els-table-text"/>
              <w:keepNext/>
              <w:spacing w:before="60" w:after="60" w:line="240" w:lineRule="auto"/>
              <w:ind w:left="-57" w:right="-57"/>
              <w:rPr>
                <w:rFonts w:ascii="Cambria" w:hAnsi="Cambria"/>
                <w:b/>
                <w:sz w:val="18"/>
              </w:rPr>
            </w:pPr>
            <w:r w:rsidRPr="00CA6939">
              <w:rPr>
                <w:rFonts w:ascii="Cambria" w:hAnsi="Cambria"/>
                <w:b/>
                <w:sz w:val="18"/>
              </w:rPr>
              <w:t xml:space="preserve">CPI </w:t>
            </w:r>
            <w:r w:rsidRPr="00CA6939">
              <w:rPr>
                <w:rFonts w:ascii="Cambria" w:hAnsi="Cambria"/>
                <w:b/>
              </w:rPr>
              <w:t>2013</w:t>
            </w:r>
          </w:p>
        </w:tc>
        <w:tc>
          <w:tcPr>
            <w:tcW w:w="992" w:type="dxa"/>
            <w:tcBorders>
              <w:top w:val="single" w:sz="4" w:space="0" w:color="auto"/>
              <w:bottom w:val="single" w:sz="4" w:space="0" w:color="auto"/>
            </w:tcBorders>
            <w:shd w:val="clear" w:color="auto" w:fill="D9D9D9"/>
          </w:tcPr>
          <w:p w:rsidR="00211B14" w:rsidRPr="00CA6939" w:rsidRDefault="00211B14" w:rsidP="00336387">
            <w:pPr>
              <w:pStyle w:val="Els-table-text"/>
              <w:keepNext/>
              <w:spacing w:before="60" w:after="60" w:line="240" w:lineRule="auto"/>
              <w:ind w:left="-57" w:right="-57"/>
              <w:rPr>
                <w:rFonts w:ascii="Cambria" w:hAnsi="Cambria"/>
                <w:b/>
                <w:sz w:val="18"/>
              </w:rPr>
            </w:pPr>
            <w:r w:rsidRPr="00CA6939">
              <w:rPr>
                <w:rFonts w:ascii="Cambria" w:hAnsi="Cambria"/>
                <w:b/>
                <w:sz w:val="18"/>
              </w:rPr>
              <w:t xml:space="preserve">CPI </w:t>
            </w:r>
            <w:r w:rsidRPr="00CA6939">
              <w:rPr>
                <w:rFonts w:ascii="Cambria" w:hAnsi="Cambria"/>
                <w:b/>
              </w:rPr>
              <w:t>2015</w:t>
            </w:r>
          </w:p>
        </w:tc>
        <w:tc>
          <w:tcPr>
            <w:tcW w:w="992" w:type="dxa"/>
            <w:tcBorders>
              <w:top w:val="single" w:sz="4" w:space="0" w:color="auto"/>
              <w:bottom w:val="single" w:sz="4" w:space="0" w:color="auto"/>
            </w:tcBorders>
            <w:shd w:val="clear" w:color="auto" w:fill="D9D9D9"/>
          </w:tcPr>
          <w:p w:rsidR="00211B14" w:rsidRPr="00CA6939" w:rsidRDefault="00211B14" w:rsidP="00336387">
            <w:pPr>
              <w:pStyle w:val="Els-table-text"/>
              <w:keepNext/>
              <w:spacing w:before="60" w:after="60" w:line="240" w:lineRule="auto"/>
              <w:ind w:left="-57" w:right="-57"/>
              <w:rPr>
                <w:rFonts w:ascii="Cambria" w:hAnsi="Cambria"/>
                <w:b/>
                <w:sz w:val="18"/>
              </w:rPr>
            </w:pPr>
            <w:r w:rsidRPr="00CA6939">
              <w:rPr>
                <w:rFonts w:ascii="Cambria" w:hAnsi="Cambria"/>
                <w:b/>
                <w:sz w:val="18"/>
              </w:rPr>
              <w:t xml:space="preserve">CCI </w:t>
            </w:r>
            <w:r w:rsidRPr="00CA6939">
              <w:rPr>
                <w:rFonts w:ascii="Cambria" w:hAnsi="Cambria"/>
                <w:b/>
              </w:rPr>
              <w:t>2013</w:t>
            </w:r>
          </w:p>
        </w:tc>
        <w:tc>
          <w:tcPr>
            <w:tcW w:w="992" w:type="dxa"/>
            <w:tcBorders>
              <w:top w:val="single" w:sz="4" w:space="0" w:color="auto"/>
              <w:bottom w:val="single" w:sz="4" w:space="0" w:color="auto"/>
            </w:tcBorders>
            <w:shd w:val="clear" w:color="auto" w:fill="D9D9D9"/>
          </w:tcPr>
          <w:p w:rsidR="00211B14" w:rsidRPr="00CA6939" w:rsidRDefault="00211B14" w:rsidP="00336387">
            <w:pPr>
              <w:pStyle w:val="Els-table-text"/>
              <w:keepNext/>
              <w:spacing w:before="60" w:after="60" w:line="240" w:lineRule="auto"/>
              <w:ind w:left="-57" w:right="-57"/>
              <w:rPr>
                <w:rFonts w:ascii="Cambria" w:hAnsi="Cambria"/>
                <w:b/>
                <w:sz w:val="18"/>
              </w:rPr>
            </w:pPr>
            <w:r w:rsidRPr="00CA6939">
              <w:rPr>
                <w:rFonts w:ascii="Cambria" w:hAnsi="Cambria"/>
                <w:b/>
                <w:sz w:val="18"/>
              </w:rPr>
              <w:t xml:space="preserve">CCI </w:t>
            </w:r>
            <w:r w:rsidRPr="00CA6939">
              <w:rPr>
                <w:rFonts w:ascii="Cambria" w:hAnsi="Cambria"/>
                <w:b/>
              </w:rPr>
              <w:t>2015</w:t>
            </w:r>
          </w:p>
        </w:tc>
      </w:tr>
      <w:tr w:rsidR="009D1FF5" w:rsidRPr="00CA6939" w:rsidTr="009D1FF5">
        <w:trPr>
          <w:trHeight w:val="126"/>
          <w:jc w:val="center"/>
        </w:trPr>
        <w:tc>
          <w:tcPr>
            <w:tcW w:w="992" w:type="dxa"/>
            <w:tcBorders>
              <w:top w:val="single" w:sz="4" w:space="0" w:color="auto"/>
            </w:tcBorders>
          </w:tcPr>
          <w:p w:rsidR="009D1FF5" w:rsidRPr="00CA6939" w:rsidRDefault="009D1FF5" w:rsidP="00336387">
            <w:pPr>
              <w:pStyle w:val="Els-table-text"/>
              <w:keepNext/>
              <w:spacing w:before="60" w:after="60" w:line="240" w:lineRule="auto"/>
              <w:ind w:left="-57" w:right="-57"/>
              <w:rPr>
                <w:rFonts w:ascii="Cambria" w:hAnsi="Cambria"/>
                <w:sz w:val="18"/>
              </w:rPr>
            </w:pPr>
            <w:r w:rsidRPr="00CA6939">
              <w:rPr>
                <w:rFonts w:ascii="Cambria" w:hAnsi="Cambria"/>
                <w:sz w:val="18"/>
              </w:rPr>
              <w:t xml:space="preserve">GODI </w:t>
            </w:r>
            <w:r w:rsidRPr="00CA6939">
              <w:rPr>
                <w:rFonts w:ascii="Cambria" w:hAnsi="Cambria"/>
              </w:rPr>
              <w:t>2013</w:t>
            </w:r>
          </w:p>
        </w:tc>
        <w:tc>
          <w:tcPr>
            <w:tcW w:w="992" w:type="dxa"/>
            <w:tcBorders>
              <w:top w:val="single" w:sz="4" w:space="0" w:color="auto"/>
            </w:tcBorders>
            <w:vAlign w:val="center"/>
          </w:tcPr>
          <w:p w:rsidR="009D1FF5" w:rsidRPr="00CA6939" w:rsidRDefault="009D1FF5" w:rsidP="00336387">
            <w:pPr>
              <w:keepNext/>
              <w:spacing w:before="60" w:after="60"/>
              <w:ind w:firstLine="0"/>
              <w:jc w:val="left"/>
              <w:rPr>
                <w:sz w:val="18"/>
                <w:szCs w:val="18"/>
                <w:lang w:val="en-US"/>
              </w:rPr>
            </w:pPr>
            <w:r w:rsidRPr="00CA6939">
              <w:rPr>
                <w:sz w:val="18"/>
                <w:szCs w:val="18"/>
                <w:lang w:val="en-US"/>
              </w:rPr>
              <w:t>1.000</w:t>
            </w:r>
          </w:p>
        </w:tc>
        <w:tc>
          <w:tcPr>
            <w:tcW w:w="992" w:type="dxa"/>
            <w:tcBorders>
              <w:top w:val="single" w:sz="4" w:space="0" w:color="auto"/>
            </w:tcBorders>
            <w:vAlign w:val="center"/>
          </w:tcPr>
          <w:p w:rsidR="009D1FF5" w:rsidRPr="00CA6939" w:rsidRDefault="009D1FF5" w:rsidP="00336387">
            <w:pPr>
              <w:keepNext/>
              <w:spacing w:before="60" w:after="60"/>
              <w:ind w:firstLine="0"/>
              <w:jc w:val="left"/>
              <w:rPr>
                <w:sz w:val="18"/>
                <w:szCs w:val="18"/>
                <w:lang w:val="en-US"/>
              </w:rPr>
            </w:pPr>
          </w:p>
        </w:tc>
        <w:tc>
          <w:tcPr>
            <w:tcW w:w="992" w:type="dxa"/>
            <w:tcBorders>
              <w:top w:val="single" w:sz="4" w:space="0" w:color="auto"/>
            </w:tcBorders>
            <w:vAlign w:val="center"/>
          </w:tcPr>
          <w:p w:rsidR="009D1FF5" w:rsidRPr="00CA6939" w:rsidRDefault="009D1FF5" w:rsidP="00336387">
            <w:pPr>
              <w:keepNext/>
              <w:spacing w:before="60" w:after="60"/>
              <w:ind w:firstLine="0"/>
              <w:jc w:val="left"/>
              <w:rPr>
                <w:sz w:val="18"/>
                <w:szCs w:val="18"/>
                <w:lang w:val="en-US"/>
              </w:rPr>
            </w:pPr>
          </w:p>
        </w:tc>
        <w:tc>
          <w:tcPr>
            <w:tcW w:w="992" w:type="dxa"/>
            <w:tcBorders>
              <w:top w:val="single" w:sz="4" w:space="0" w:color="auto"/>
            </w:tcBorders>
            <w:vAlign w:val="center"/>
          </w:tcPr>
          <w:p w:rsidR="009D1FF5" w:rsidRPr="00CA6939" w:rsidRDefault="009D1FF5" w:rsidP="00336387">
            <w:pPr>
              <w:keepNext/>
              <w:spacing w:before="60" w:after="60"/>
              <w:ind w:firstLine="0"/>
              <w:jc w:val="left"/>
              <w:rPr>
                <w:sz w:val="18"/>
                <w:szCs w:val="18"/>
                <w:lang w:val="en-US"/>
              </w:rPr>
            </w:pPr>
          </w:p>
        </w:tc>
        <w:tc>
          <w:tcPr>
            <w:tcW w:w="992" w:type="dxa"/>
            <w:tcBorders>
              <w:top w:val="single" w:sz="4" w:space="0" w:color="auto"/>
            </w:tcBorders>
            <w:vAlign w:val="center"/>
          </w:tcPr>
          <w:p w:rsidR="009D1FF5" w:rsidRPr="00CA6939" w:rsidRDefault="009D1FF5" w:rsidP="00336387">
            <w:pPr>
              <w:keepNext/>
              <w:spacing w:before="60" w:after="60"/>
              <w:ind w:firstLine="0"/>
              <w:jc w:val="left"/>
              <w:rPr>
                <w:sz w:val="18"/>
                <w:szCs w:val="18"/>
                <w:lang w:val="en-US"/>
              </w:rPr>
            </w:pPr>
          </w:p>
        </w:tc>
        <w:tc>
          <w:tcPr>
            <w:tcW w:w="992" w:type="dxa"/>
            <w:tcBorders>
              <w:top w:val="single" w:sz="4" w:space="0" w:color="auto"/>
            </w:tcBorders>
            <w:vAlign w:val="center"/>
          </w:tcPr>
          <w:p w:rsidR="009D1FF5" w:rsidRPr="00CA6939" w:rsidRDefault="009D1FF5" w:rsidP="00336387">
            <w:pPr>
              <w:keepNext/>
              <w:spacing w:before="60" w:after="60"/>
              <w:ind w:firstLine="0"/>
              <w:jc w:val="left"/>
              <w:rPr>
                <w:sz w:val="18"/>
                <w:szCs w:val="18"/>
                <w:lang w:val="en-US"/>
              </w:rPr>
            </w:pPr>
          </w:p>
        </w:tc>
        <w:tc>
          <w:tcPr>
            <w:tcW w:w="992" w:type="dxa"/>
            <w:tcBorders>
              <w:top w:val="single" w:sz="4" w:space="0" w:color="auto"/>
            </w:tcBorders>
            <w:vAlign w:val="center"/>
          </w:tcPr>
          <w:p w:rsidR="009D1FF5" w:rsidRPr="00CA6939" w:rsidRDefault="009D1FF5" w:rsidP="00336387">
            <w:pPr>
              <w:keepNext/>
              <w:spacing w:before="60" w:after="60"/>
              <w:ind w:firstLine="0"/>
              <w:jc w:val="left"/>
              <w:rPr>
                <w:sz w:val="18"/>
                <w:szCs w:val="18"/>
                <w:lang w:val="en-US"/>
              </w:rPr>
            </w:pPr>
          </w:p>
        </w:tc>
        <w:tc>
          <w:tcPr>
            <w:tcW w:w="992" w:type="dxa"/>
            <w:tcBorders>
              <w:top w:val="single" w:sz="4" w:space="0" w:color="auto"/>
            </w:tcBorders>
            <w:vAlign w:val="center"/>
          </w:tcPr>
          <w:p w:rsidR="009D1FF5" w:rsidRPr="00CA6939" w:rsidRDefault="009D1FF5" w:rsidP="00336387">
            <w:pPr>
              <w:keepNext/>
              <w:spacing w:before="60" w:after="60"/>
              <w:ind w:firstLine="0"/>
              <w:jc w:val="left"/>
              <w:rPr>
                <w:sz w:val="18"/>
                <w:szCs w:val="18"/>
                <w:lang w:val="en-US"/>
              </w:rPr>
            </w:pPr>
          </w:p>
        </w:tc>
      </w:tr>
      <w:tr w:rsidR="009D1FF5" w:rsidRPr="00CA6939" w:rsidTr="009D1FF5">
        <w:trPr>
          <w:trHeight w:val="126"/>
          <w:jc w:val="center"/>
        </w:trPr>
        <w:tc>
          <w:tcPr>
            <w:tcW w:w="992" w:type="dxa"/>
          </w:tcPr>
          <w:p w:rsidR="009D1FF5" w:rsidRPr="00CA6939" w:rsidRDefault="009D1FF5" w:rsidP="00336387">
            <w:pPr>
              <w:pStyle w:val="Els-table-text"/>
              <w:keepNext/>
              <w:spacing w:before="60" w:after="60" w:line="240" w:lineRule="auto"/>
              <w:ind w:left="-57" w:right="-57"/>
              <w:rPr>
                <w:rFonts w:ascii="Cambria" w:hAnsi="Cambria"/>
                <w:sz w:val="18"/>
              </w:rPr>
            </w:pPr>
            <w:r w:rsidRPr="00CA6939">
              <w:rPr>
                <w:rFonts w:ascii="Cambria" w:hAnsi="Cambria"/>
                <w:sz w:val="18"/>
              </w:rPr>
              <w:t xml:space="preserve">GODI </w:t>
            </w:r>
            <w:r w:rsidRPr="00CA6939">
              <w:rPr>
                <w:rFonts w:ascii="Cambria" w:hAnsi="Cambria"/>
              </w:rPr>
              <w:t>2015</w:t>
            </w:r>
          </w:p>
        </w:tc>
        <w:tc>
          <w:tcPr>
            <w:tcW w:w="992" w:type="dxa"/>
            <w:vAlign w:val="center"/>
          </w:tcPr>
          <w:p w:rsidR="009D1FF5" w:rsidRPr="00CA6939" w:rsidRDefault="009D1FF5" w:rsidP="00336387">
            <w:pPr>
              <w:keepNext/>
              <w:spacing w:before="60" w:after="60"/>
              <w:ind w:firstLine="0"/>
              <w:jc w:val="left"/>
              <w:rPr>
                <w:sz w:val="18"/>
                <w:szCs w:val="18"/>
                <w:lang w:val="en-US"/>
              </w:rPr>
            </w:pPr>
            <w:r w:rsidRPr="00CA6939">
              <w:rPr>
                <w:sz w:val="18"/>
                <w:szCs w:val="18"/>
                <w:lang w:val="en-US"/>
              </w:rPr>
              <w:t>0.593</w:t>
            </w:r>
          </w:p>
        </w:tc>
        <w:tc>
          <w:tcPr>
            <w:tcW w:w="992" w:type="dxa"/>
            <w:vAlign w:val="center"/>
          </w:tcPr>
          <w:p w:rsidR="009D1FF5" w:rsidRPr="00CA6939" w:rsidRDefault="009D1FF5" w:rsidP="00336387">
            <w:pPr>
              <w:keepNext/>
              <w:spacing w:before="60" w:after="60"/>
              <w:ind w:firstLine="0"/>
              <w:jc w:val="left"/>
              <w:rPr>
                <w:sz w:val="18"/>
                <w:szCs w:val="18"/>
                <w:lang w:val="en-US"/>
              </w:rPr>
            </w:pPr>
            <w:r w:rsidRPr="00CA6939">
              <w:rPr>
                <w:sz w:val="18"/>
                <w:szCs w:val="18"/>
                <w:lang w:val="en-US"/>
              </w:rPr>
              <w:t>1.000</w:t>
            </w:r>
          </w:p>
        </w:tc>
        <w:tc>
          <w:tcPr>
            <w:tcW w:w="992" w:type="dxa"/>
            <w:vAlign w:val="center"/>
          </w:tcPr>
          <w:p w:rsidR="009D1FF5" w:rsidRPr="00CA6939" w:rsidRDefault="009D1FF5" w:rsidP="00336387">
            <w:pPr>
              <w:keepNext/>
              <w:spacing w:before="60" w:after="60"/>
              <w:ind w:firstLine="0"/>
              <w:jc w:val="left"/>
              <w:rPr>
                <w:sz w:val="18"/>
                <w:szCs w:val="18"/>
                <w:lang w:val="en-US"/>
              </w:rPr>
            </w:pPr>
          </w:p>
        </w:tc>
        <w:tc>
          <w:tcPr>
            <w:tcW w:w="992" w:type="dxa"/>
            <w:vAlign w:val="center"/>
          </w:tcPr>
          <w:p w:rsidR="009D1FF5" w:rsidRPr="00CA6939" w:rsidRDefault="009D1FF5" w:rsidP="00336387">
            <w:pPr>
              <w:keepNext/>
              <w:spacing w:before="60" w:after="60"/>
              <w:ind w:firstLine="0"/>
              <w:jc w:val="left"/>
              <w:rPr>
                <w:sz w:val="18"/>
                <w:szCs w:val="18"/>
                <w:lang w:val="en-US"/>
              </w:rPr>
            </w:pPr>
          </w:p>
        </w:tc>
        <w:tc>
          <w:tcPr>
            <w:tcW w:w="992" w:type="dxa"/>
            <w:vAlign w:val="center"/>
          </w:tcPr>
          <w:p w:rsidR="009D1FF5" w:rsidRPr="00CA6939" w:rsidRDefault="009D1FF5" w:rsidP="00336387">
            <w:pPr>
              <w:keepNext/>
              <w:spacing w:before="60" w:after="60"/>
              <w:ind w:firstLine="0"/>
              <w:jc w:val="left"/>
              <w:rPr>
                <w:sz w:val="18"/>
                <w:szCs w:val="18"/>
                <w:lang w:val="en-US"/>
              </w:rPr>
            </w:pPr>
          </w:p>
        </w:tc>
        <w:tc>
          <w:tcPr>
            <w:tcW w:w="992" w:type="dxa"/>
            <w:vAlign w:val="center"/>
          </w:tcPr>
          <w:p w:rsidR="009D1FF5" w:rsidRPr="00CA6939" w:rsidRDefault="009D1FF5" w:rsidP="00336387">
            <w:pPr>
              <w:keepNext/>
              <w:spacing w:before="60" w:after="60"/>
              <w:ind w:firstLine="0"/>
              <w:jc w:val="left"/>
              <w:rPr>
                <w:sz w:val="18"/>
                <w:szCs w:val="18"/>
                <w:lang w:val="en-US"/>
              </w:rPr>
            </w:pPr>
          </w:p>
        </w:tc>
        <w:tc>
          <w:tcPr>
            <w:tcW w:w="992" w:type="dxa"/>
            <w:vAlign w:val="center"/>
          </w:tcPr>
          <w:p w:rsidR="009D1FF5" w:rsidRPr="00CA6939" w:rsidRDefault="009D1FF5" w:rsidP="00336387">
            <w:pPr>
              <w:keepNext/>
              <w:spacing w:before="60" w:after="60"/>
              <w:ind w:firstLine="0"/>
              <w:jc w:val="left"/>
              <w:rPr>
                <w:sz w:val="18"/>
                <w:szCs w:val="18"/>
                <w:lang w:val="en-US"/>
              </w:rPr>
            </w:pPr>
          </w:p>
        </w:tc>
        <w:tc>
          <w:tcPr>
            <w:tcW w:w="992" w:type="dxa"/>
            <w:vAlign w:val="center"/>
          </w:tcPr>
          <w:p w:rsidR="009D1FF5" w:rsidRPr="00CA6939" w:rsidRDefault="009D1FF5" w:rsidP="00336387">
            <w:pPr>
              <w:keepNext/>
              <w:spacing w:before="60" w:after="60"/>
              <w:ind w:firstLine="0"/>
              <w:jc w:val="left"/>
              <w:rPr>
                <w:sz w:val="18"/>
                <w:szCs w:val="18"/>
                <w:lang w:val="en-US"/>
              </w:rPr>
            </w:pPr>
          </w:p>
        </w:tc>
      </w:tr>
      <w:tr w:rsidR="009D1FF5" w:rsidRPr="00CA6939" w:rsidTr="009D1FF5">
        <w:trPr>
          <w:trHeight w:val="126"/>
          <w:jc w:val="center"/>
        </w:trPr>
        <w:tc>
          <w:tcPr>
            <w:tcW w:w="992" w:type="dxa"/>
          </w:tcPr>
          <w:p w:rsidR="009D1FF5" w:rsidRPr="00CA6939" w:rsidRDefault="009D1FF5" w:rsidP="00336387">
            <w:pPr>
              <w:pStyle w:val="Els-table-text"/>
              <w:keepNext/>
              <w:spacing w:before="60" w:after="60" w:line="240" w:lineRule="auto"/>
              <w:ind w:left="-57" w:right="-57"/>
              <w:rPr>
                <w:rFonts w:ascii="Cambria" w:hAnsi="Cambria"/>
                <w:sz w:val="18"/>
              </w:rPr>
            </w:pPr>
            <w:r w:rsidRPr="00CA6939">
              <w:rPr>
                <w:rFonts w:ascii="Cambria" w:hAnsi="Cambria"/>
                <w:sz w:val="18"/>
              </w:rPr>
              <w:t xml:space="preserve">ODBI </w:t>
            </w:r>
            <w:r w:rsidRPr="00CA6939">
              <w:rPr>
                <w:rFonts w:ascii="Cambria" w:hAnsi="Cambria"/>
              </w:rPr>
              <w:t>2013</w:t>
            </w:r>
          </w:p>
        </w:tc>
        <w:tc>
          <w:tcPr>
            <w:tcW w:w="992" w:type="dxa"/>
            <w:vAlign w:val="center"/>
          </w:tcPr>
          <w:p w:rsidR="009D1FF5" w:rsidRPr="00CA6939" w:rsidRDefault="009D1FF5" w:rsidP="00336387">
            <w:pPr>
              <w:keepNext/>
              <w:spacing w:before="60" w:after="60"/>
              <w:ind w:firstLine="0"/>
              <w:jc w:val="left"/>
              <w:rPr>
                <w:sz w:val="18"/>
                <w:szCs w:val="18"/>
                <w:lang w:val="en-US"/>
              </w:rPr>
            </w:pPr>
            <w:r w:rsidRPr="00CA6939">
              <w:rPr>
                <w:sz w:val="18"/>
                <w:szCs w:val="18"/>
                <w:lang w:val="en-US"/>
              </w:rPr>
              <w:t>0.681</w:t>
            </w:r>
          </w:p>
        </w:tc>
        <w:tc>
          <w:tcPr>
            <w:tcW w:w="992" w:type="dxa"/>
            <w:vAlign w:val="center"/>
          </w:tcPr>
          <w:p w:rsidR="009D1FF5" w:rsidRPr="00CA6939" w:rsidRDefault="009D1FF5" w:rsidP="00336387">
            <w:pPr>
              <w:keepNext/>
              <w:spacing w:before="60" w:after="60"/>
              <w:ind w:firstLine="0"/>
              <w:jc w:val="left"/>
              <w:rPr>
                <w:sz w:val="18"/>
                <w:szCs w:val="18"/>
                <w:lang w:val="en-US"/>
              </w:rPr>
            </w:pPr>
            <w:r w:rsidRPr="00CA6939">
              <w:rPr>
                <w:sz w:val="18"/>
                <w:szCs w:val="18"/>
                <w:lang w:val="en-US"/>
              </w:rPr>
              <w:t>0.612</w:t>
            </w:r>
          </w:p>
        </w:tc>
        <w:tc>
          <w:tcPr>
            <w:tcW w:w="992" w:type="dxa"/>
            <w:vAlign w:val="center"/>
          </w:tcPr>
          <w:p w:rsidR="009D1FF5" w:rsidRPr="00CA6939" w:rsidRDefault="009D1FF5" w:rsidP="00336387">
            <w:pPr>
              <w:keepNext/>
              <w:spacing w:before="60" w:after="60"/>
              <w:ind w:firstLine="0"/>
              <w:jc w:val="left"/>
              <w:rPr>
                <w:sz w:val="18"/>
                <w:szCs w:val="18"/>
                <w:lang w:val="en-US"/>
              </w:rPr>
            </w:pPr>
            <w:r w:rsidRPr="00CA6939">
              <w:rPr>
                <w:sz w:val="18"/>
                <w:szCs w:val="18"/>
                <w:lang w:val="en-US"/>
              </w:rPr>
              <w:t>1.000</w:t>
            </w:r>
          </w:p>
        </w:tc>
        <w:tc>
          <w:tcPr>
            <w:tcW w:w="992" w:type="dxa"/>
            <w:vAlign w:val="center"/>
          </w:tcPr>
          <w:p w:rsidR="009D1FF5" w:rsidRPr="00CA6939" w:rsidRDefault="009D1FF5" w:rsidP="00336387">
            <w:pPr>
              <w:keepNext/>
              <w:spacing w:before="60" w:after="60"/>
              <w:ind w:firstLine="0"/>
              <w:jc w:val="left"/>
              <w:rPr>
                <w:sz w:val="18"/>
                <w:szCs w:val="18"/>
                <w:lang w:val="en-US"/>
              </w:rPr>
            </w:pPr>
          </w:p>
        </w:tc>
        <w:tc>
          <w:tcPr>
            <w:tcW w:w="992" w:type="dxa"/>
            <w:vAlign w:val="center"/>
          </w:tcPr>
          <w:p w:rsidR="009D1FF5" w:rsidRPr="00CA6939" w:rsidRDefault="009D1FF5" w:rsidP="00336387">
            <w:pPr>
              <w:keepNext/>
              <w:spacing w:before="60" w:after="60"/>
              <w:ind w:firstLine="0"/>
              <w:jc w:val="left"/>
              <w:rPr>
                <w:sz w:val="18"/>
                <w:szCs w:val="18"/>
                <w:lang w:val="en-US"/>
              </w:rPr>
            </w:pPr>
          </w:p>
        </w:tc>
        <w:tc>
          <w:tcPr>
            <w:tcW w:w="992" w:type="dxa"/>
            <w:vAlign w:val="center"/>
          </w:tcPr>
          <w:p w:rsidR="009D1FF5" w:rsidRPr="00CA6939" w:rsidRDefault="009D1FF5" w:rsidP="00336387">
            <w:pPr>
              <w:keepNext/>
              <w:spacing w:before="60" w:after="60"/>
              <w:ind w:firstLine="0"/>
              <w:jc w:val="left"/>
              <w:rPr>
                <w:sz w:val="18"/>
                <w:szCs w:val="18"/>
                <w:lang w:val="en-US"/>
              </w:rPr>
            </w:pPr>
          </w:p>
        </w:tc>
        <w:tc>
          <w:tcPr>
            <w:tcW w:w="992" w:type="dxa"/>
            <w:vAlign w:val="center"/>
          </w:tcPr>
          <w:p w:rsidR="009D1FF5" w:rsidRPr="00CA6939" w:rsidRDefault="009D1FF5" w:rsidP="00336387">
            <w:pPr>
              <w:keepNext/>
              <w:spacing w:before="60" w:after="60"/>
              <w:ind w:firstLine="0"/>
              <w:jc w:val="left"/>
              <w:rPr>
                <w:sz w:val="18"/>
                <w:szCs w:val="18"/>
                <w:lang w:val="en-US"/>
              </w:rPr>
            </w:pPr>
          </w:p>
        </w:tc>
        <w:tc>
          <w:tcPr>
            <w:tcW w:w="992" w:type="dxa"/>
            <w:vAlign w:val="center"/>
          </w:tcPr>
          <w:p w:rsidR="009D1FF5" w:rsidRPr="00CA6939" w:rsidRDefault="009D1FF5" w:rsidP="00336387">
            <w:pPr>
              <w:keepNext/>
              <w:spacing w:before="60" w:after="60"/>
              <w:ind w:firstLine="0"/>
              <w:jc w:val="left"/>
              <w:rPr>
                <w:sz w:val="18"/>
                <w:szCs w:val="18"/>
                <w:lang w:val="en-US"/>
              </w:rPr>
            </w:pPr>
          </w:p>
        </w:tc>
      </w:tr>
      <w:tr w:rsidR="009D1FF5" w:rsidRPr="00CA6939" w:rsidTr="009D1FF5">
        <w:trPr>
          <w:trHeight w:val="126"/>
          <w:jc w:val="center"/>
        </w:trPr>
        <w:tc>
          <w:tcPr>
            <w:tcW w:w="992" w:type="dxa"/>
          </w:tcPr>
          <w:p w:rsidR="009D1FF5" w:rsidRPr="00CA6939" w:rsidRDefault="009D1FF5" w:rsidP="00336387">
            <w:pPr>
              <w:pStyle w:val="Els-table-text"/>
              <w:keepNext/>
              <w:spacing w:before="60" w:after="60" w:line="240" w:lineRule="auto"/>
              <w:ind w:left="-57" w:right="-57"/>
              <w:rPr>
                <w:rFonts w:ascii="Cambria" w:hAnsi="Cambria"/>
                <w:sz w:val="18"/>
              </w:rPr>
            </w:pPr>
            <w:r w:rsidRPr="00CA6939">
              <w:rPr>
                <w:rFonts w:ascii="Cambria" w:hAnsi="Cambria"/>
                <w:sz w:val="18"/>
              </w:rPr>
              <w:t xml:space="preserve">ODBI </w:t>
            </w:r>
            <w:r w:rsidRPr="00CA6939">
              <w:rPr>
                <w:rFonts w:ascii="Cambria" w:hAnsi="Cambria"/>
              </w:rPr>
              <w:t>2015</w:t>
            </w:r>
          </w:p>
        </w:tc>
        <w:tc>
          <w:tcPr>
            <w:tcW w:w="992" w:type="dxa"/>
            <w:vAlign w:val="center"/>
          </w:tcPr>
          <w:p w:rsidR="009D1FF5" w:rsidRPr="00CA6939" w:rsidRDefault="009D1FF5" w:rsidP="00336387">
            <w:pPr>
              <w:keepNext/>
              <w:spacing w:before="60" w:after="60"/>
              <w:ind w:firstLine="0"/>
              <w:jc w:val="left"/>
              <w:rPr>
                <w:sz w:val="18"/>
                <w:szCs w:val="18"/>
                <w:lang w:val="en-US"/>
              </w:rPr>
            </w:pPr>
            <w:r w:rsidRPr="00CA6939">
              <w:rPr>
                <w:sz w:val="18"/>
                <w:szCs w:val="18"/>
                <w:lang w:val="en-US"/>
              </w:rPr>
              <w:t>0.621</w:t>
            </w:r>
          </w:p>
        </w:tc>
        <w:tc>
          <w:tcPr>
            <w:tcW w:w="992" w:type="dxa"/>
            <w:vAlign w:val="center"/>
          </w:tcPr>
          <w:p w:rsidR="009D1FF5" w:rsidRPr="00CA6939" w:rsidRDefault="009D1FF5" w:rsidP="00336387">
            <w:pPr>
              <w:keepNext/>
              <w:spacing w:before="60" w:after="60"/>
              <w:ind w:firstLine="0"/>
              <w:jc w:val="left"/>
              <w:rPr>
                <w:sz w:val="18"/>
                <w:szCs w:val="18"/>
                <w:lang w:val="en-US"/>
              </w:rPr>
            </w:pPr>
            <w:r w:rsidRPr="00CA6939">
              <w:rPr>
                <w:sz w:val="18"/>
                <w:szCs w:val="18"/>
                <w:lang w:val="en-US"/>
              </w:rPr>
              <w:t>0.634</w:t>
            </w:r>
          </w:p>
        </w:tc>
        <w:tc>
          <w:tcPr>
            <w:tcW w:w="992" w:type="dxa"/>
            <w:vAlign w:val="center"/>
          </w:tcPr>
          <w:p w:rsidR="009D1FF5" w:rsidRPr="00CA6939" w:rsidRDefault="009D1FF5" w:rsidP="00336387">
            <w:pPr>
              <w:keepNext/>
              <w:spacing w:before="60" w:after="60"/>
              <w:ind w:firstLine="0"/>
              <w:jc w:val="left"/>
              <w:rPr>
                <w:sz w:val="18"/>
                <w:szCs w:val="18"/>
                <w:lang w:val="en-US"/>
              </w:rPr>
            </w:pPr>
            <w:r w:rsidRPr="00CA6939">
              <w:rPr>
                <w:sz w:val="18"/>
                <w:szCs w:val="18"/>
                <w:lang w:val="en-US"/>
              </w:rPr>
              <w:t>0.764</w:t>
            </w:r>
          </w:p>
        </w:tc>
        <w:tc>
          <w:tcPr>
            <w:tcW w:w="992" w:type="dxa"/>
            <w:vAlign w:val="center"/>
          </w:tcPr>
          <w:p w:rsidR="009D1FF5" w:rsidRPr="00CA6939" w:rsidRDefault="009D1FF5" w:rsidP="00336387">
            <w:pPr>
              <w:keepNext/>
              <w:spacing w:before="60" w:after="60"/>
              <w:ind w:firstLine="0"/>
              <w:jc w:val="left"/>
              <w:rPr>
                <w:sz w:val="18"/>
                <w:szCs w:val="18"/>
                <w:lang w:val="en-US"/>
              </w:rPr>
            </w:pPr>
            <w:r w:rsidRPr="00CA6939">
              <w:rPr>
                <w:sz w:val="18"/>
                <w:szCs w:val="18"/>
                <w:lang w:val="en-US"/>
              </w:rPr>
              <w:t>1.000</w:t>
            </w:r>
          </w:p>
        </w:tc>
        <w:tc>
          <w:tcPr>
            <w:tcW w:w="992" w:type="dxa"/>
            <w:vAlign w:val="center"/>
          </w:tcPr>
          <w:p w:rsidR="009D1FF5" w:rsidRPr="00CA6939" w:rsidRDefault="009D1FF5" w:rsidP="00336387">
            <w:pPr>
              <w:keepNext/>
              <w:spacing w:before="60" w:after="60"/>
              <w:ind w:firstLine="0"/>
              <w:jc w:val="left"/>
              <w:rPr>
                <w:sz w:val="18"/>
                <w:szCs w:val="18"/>
                <w:lang w:val="en-US"/>
              </w:rPr>
            </w:pPr>
          </w:p>
        </w:tc>
        <w:tc>
          <w:tcPr>
            <w:tcW w:w="992" w:type="dxa"/>
            <w:vAlign w:val="center"/>
          </w:tcPr>
          <w:p w:rsidR="009D1FF5" w:rsidRPr="00CA6939" w:rsidRDefault="009D1FF5" w:rsidP="00336387">
            <w:pPr>
              <w:keepNext/>
              <w:spacing w:before="60" w:after="60"/>
              <w:ind w:firstLine="0"/>
              <w:jc w:val="left"/>
              <w:rPr>
                <w:sz w:val="18"/>
                <w:szCs w:val="18"/>
                <w:lang w:val="en-US"/>
              </w:rPr>
            </w:pPr>
          </w:p>
        </w:tc>
        <w:tc>
          <w:tcPr>
            <w:tcW w:w="992" w:type="dxa"/>
            <w:vAlign w:val="center"/>
          </w:tcPr>
          <w:p w:rsidR="009D1FF5" w:rsidRPr="00CA6939" w:rsidRDefault="009D1FF5" w:rsidP="00336387">
            <w:pPr>
              <w:keepNext/>
              <w:spacing w:before="60" w:after="60"/>
              <w:ind w:firstLine="0"/>
              <w:jc w:val="left"/>
              <w:rPr>
                <w:sz w:val="18"/>
                <w:szCs w:val="18"/>
                <w:lang w:val="en-US"/>
              </w:rPr>
            </w:pPr>
          </w:p>
        </w:tc>
        <w:tc>
          <w:tcPr>
            <w:tcW w:w="992" w:type="dxa"/>
            <w:vAlign w:val="center"/>
          </w:tcPr>
          <w:p w:rsidR="009D1FF5" w:rsidRPr="00CA6939" w:rsidRDefault="009D1FF5" w:rsidP="00336387">
            <w:pPr>
              <w:keepNext/>
              <w:spacing w:before="60" w:after="60"/>
              <w:ind w:firstLine="0"/>
              <w:jc w:val="left"/>
              <w:rPr>
                <w:sz w:val="18"/>
                <w:szCs w:val="18"/>
                <w:lang w:val="en-US"/>
              </w:rPr>
            </w:pPr>
          </w:p>
        </w:tc>
      </w:tr>
      <w:tr w:rsidR="009D1FF5" w:rsidRPr="00CA6939" w:rsidTr="009D1FF5">
        <w:trPr>
          <w:trHeight w:val="126"/>
          <w:jc w:val="center"/>
        </w:trPr>
        <w:tc>
          <w:tcPr>
            <w:tcW w:w="992" w:type="dxa"/>
          </w:tcPr>
          <w:p w:rsidR="009D1FF5" w:rsidRPr="00CA6939" w:rsidRDefault="009D1FF5" w:rsidP="00336387">
            <w:pPr>
              <w:pStyle w:val="Els-table-text"/>
              <w:keepNext/>
              <w:spacing w:before="60" w:after="60" w:line="240" w:lineRule="auto"/>
              <w:ind w:left="-57" w:right="-57"/>
              <w:rPr>
                <w:rFonts w:ascii="Cambria" w:hAnsi="Cambria"/>
                <w:sz w:val="18"/>
              </w:rPr>
            </w:pPr>
            <w:r w:rsidRPr="00CA6939">
              <w:rPr>
                <w:rFonts w:ascii="Cambria" w:hAnsi="Cambria"/>
                <w:sz w:val="18"/>
              </w:rPr>
              <w:t xml:space="preserve">CPI </w:t>
            </w:r>
            <w:r w:rsidRPr="00CA6939">
              <w:rPr>
                <w:rFonts w:ascii="Cambria" w:hAnsi="Cambria"/>
              </w:rPr>
              <w:t>2013</w:t>
            </w:r>
          </w:p>
        </w:tc>
        <w:tc>
          <w:tcPr>
            <w:tcW w:w="992" w:type="dxa"/>
            <w:vAlign w:val="center"/>
          </w:tcPr>
          <w:p w:rsidR="009D1FF5" w:rsidRPr="00CA6939" w:rsidRDefault="009D1FF5" w:rsidP="00336387">
            <w:pPr>
              <w:keepNext/>
              <w:spacing w:before="60" w:after="60"/>
              <w:ind w:firstLine="0"/>
              <w:jc w:val="left"/>
              <w:rPr>
                <w:sz w:val="18"/>
                <w:szCs w:val="18"/>
                <w:lang w:val="en-US"/>
              </w:rPr>
            </w:pPr>
            <w:r w:rsidRPr="00CA6939">
              <w:rPr>
                <w:sz w:val="18"/>
                <w:szCs w:val="18"/>
                <w:lang w:val="en-US"/>
              </w:rPr>
              <w:t>0.449</w:t>
            </w:r>
          </w:p>
        </w:tc>
        <w:tc>
          <w:tcPr>
            <w:tcW w:w="992" w:type="dxa"/>
            <w:vAlign w:val="center"/>
          </w:tcPr>
          <w:p w:rsidR="009D1FF5" w:rsidRPr="00CA6939" w:rsidRDefault="009D1FF5" w:rsidP="00336387">
            <w:pPr>
              <w:keepNext/>
              <w:spacing w:before="60" w:after="60"/>
              <w:ind w:firstLine="0"/>
              <w:jc w:val="left"/>
              <w:rPr>
                <w:sz w:val="18"/>
                <w:szCs w:val="18"/>
                <w:lang w:val="en-US"/>
              </w:rPr>
            </w:pPr>
            <w:r w:rsidRPr="00CA6939">
              <w:rPr>
                <w:sz w:val="18"/>
                <w:szCs w:val="18"/>
                <w:lang w:val="en-US"/>
              </w:rPr>
              <w:t>0.364</w:t>
            </w:r>
          </w:p>
        </w:tc>
        <w:tc>
          <w:tcPr>
            <w:tcW w:w="992" w:type="dxa"/>
            <w:vAlign w:val="center"/>
          </w:tcPr>
          <w:p w:rsidR="009D1FF5" w:rsidRPr="00CA6939" w:rsidRDefault="009D1FF5" w:rsidP="00336387">
            <w:pPr>
              <w:keepNext/>
              <w:spacing w:before="60" w:after="60"/>
              <w:ind w:firstLine="0"/>
              <w:jc w:val="left"/>
              <w:rPr>
                <w:sz w:val="18"/>
                <w:szCs w:val="18"/>
                <w:lang w:val="en-US"/>
              </w:rPr>
            </w:pPr>
            <w:r w:rsidRPr="00CA6939">
              <w:rPr>
                <w:sz w:val="18"/>
                <w:szCs w:val="18"/>
                <w:lang w:val="en-US"/>
              </w:rPr>
              <w:t>0.523</w:t>
            </w:r>
          </w:p>
        </w:tc>
        <w:tc>
          <w:tcPr>
            <w:tcW w:w="992" w:type="dxa"/>
            <w:vAlign w:val="center"/>
          </w:tcPr>
          <w:p w:rsidR="009D1FF5" w:rsidRPr="00CA6939" w:rsidRDefault="009D1FF5" w:rsidP="00336387">
            <w:pPr>
              <w:keepNext/>
              <w:spacing w:before="60" w:after="60"/>
              <w:ind w:firstLine="0"/>
              <w:jc w:val="left"/>
              <w:rPr>
                <w:sz w:val="18"/>
                <w:szCs w:val="18"/>
                <w:lang w:val="en-US"/>
              </w:rPr>
            </w:pPr>
            <w:r w:rsidRPr="00CA6939">
              <w:rPr>
                <w:sz w:val="18"/>
                <w:szCs w:val="18"/>
                <w:lang w:val="en-US"/>
              </w:rPr>
              <w:t>0.541</w:t>
            </w:r>
          </w:p>
        </w:tc>
        <w:tc>
          <w:tcPr>
            <w:tcW w:w="992" w:type="dxa"/>
            <w:vAlign w:val="center"/>
          </w:tcPr>
          <w:p w:rsidR="009D1FF5" w:rsidRPr="00CA6939" w:rsidRDefault="009D1FF5" w:rsidP="00336387">
            <w:pPr>
              <w:keepNext/>
              <w:spacing w:before="60" w:after="60"/>
              <w:ind w:firstLine="0"/>
              <w:jc w:val="left"/>
              <w:rPr>
                <w:sz w:val="18"/>
                <w:szCs w:val="18"/>
                <w:lang w:val="en-US"/>
              </w:rPr>
            </w:pPr>
            <w:r w:rsidRPr="00CA6939">
              <w:rPr>
                <w:sz w:val="18"/>
                <w:szCs w:val="18"/>
                <w:lang w:val="en-US"/>
              </w:rPr>
              <w:t>1.000</w:t>
            </w:r>
          </w:p>
        </w:tc>
        <w:tc>
          <w:tcPr>
            <w:tcW w:w="992" w:type="dxa"/>
            <w:vAlign w:val="center"/>
          </w:tcPr>
          <w:p w:rsidR="009D1FF5" w:rsidRPr="00CA6939" w:rsidRDefault="009D1FF5" w:rsidP="00336387">
            <w:pPr>
              <w:keepNext/>
              <w:spacing w:before="60" w:after="60"/>
              <w:ind w:firstLine="0"/>
              <w:jc w:val="left"/>
              <w:rPr>
                <w:sz w:val="18"/>
                <w:szCs w:val="18"/>
                <w:lang w:val="en-US"/>
              </w:rPr>
            </w:pPr>
          </w:p>
        </w:tc>
        <w:tc>
          <w:tcPr>
            <w:tcW w:w="992" w:type="dxa"/>
            <w:vAlign w:val="center"/>
          </w:tcPr>
          <w:p w:rsidR="009D1FF5" w:rsidRPr="00CA6939" w:rsidRDefault="009D1FF5" w:rsidP="00336387">
            <w:pPr>
              <w:keepNext/>
              <w:spacing w:before="60" w:after="60"/>
              <w:ind w:firstLine="0"/>
              <w:jc w:val="left"/>
              <w:rPr>
                <w:sz w:val="18"/>
                <w:szCs w:val="18"/>
                <w:lang w:val="en-US"/>
              </w:rPr>
            </w:pPr>
          </w:p>
        </w:tc>
        <w:tc>
          <w:tcPr>
            <w:tcW w:w="992" w:type="dxa"/>
            <w:vAlign w:val="center"/>
          </w:tcPr>
          <w:p w:rsidR="009D1FF5" w:rsidRPr="00CA6939" w:rsidRDefault="009D1FF5" w:rsidP="00336387">
            <w:pPr>
              <w:keepNext/>
              <w:spacing w:before="60" w:after="60"/>
              <w:ind w:firstLine="0"/>
              <w:jc w:val="left"/>
              <w:rPr>
                <w:sz w:val="18"/>
                <w:szCs w:val="18"/>
                <w:lang w:val="en-US"/>
              </w:rPr>
            </w:pPr>
          </w:p>
        </w:tc>
      </w:tr>
      <w:tr w:rsidR="009D1FF5" w:rsidRPr="00CA6939" w:rsidTr="009D1FF5">
        <w:trPr>
          <w:trHeight w:val="126"/>
          <w:jc w:val="center"/>
        </w:trPr>
        <w:tc>
          <w:tcPr>
            <w:tcW w:w="992" w:type="dxa"/>
          </w:tcPr>
          <w:p w:rsidR="009D1FF5" w:rsidRPr="00CA6939" w:rsidRDefault="009D1FF5" w:rsidP="00336387">
            <w:pPr>
              <w:pStyle w:val="Els-table-text"/>
              <w:keepNext/>
              <w:spacing w:before="60" w:after="60" w:line="240" w:lineRule="auto"/>
              <w:ind w:left="-57" w:right="-57"/>
              <w:rPr>
                <w:rFonts w:ascii="Cambria" w:hAnsi="Cambria"/>
                <w:sz w:val="18"/>
              </w:rPr>
            </w:pPr>
            <w:r w:rsidRPr="00CA6939">
              <w:rPr>
                <w:rFonts w:ascii="Cambria" w:hAnsi="Cambria"/>
                <w:sz w:val="18"/>
              </w:rPr>
              <w:t xml:space="preserve">CPI </w:t>
            </w:r>
            <w:r w:rsidRPr="00CA6939">
              <w:rPr>
                <w:rFonts w:ascii="Cambria" w:hAnsi="Cambria"/>
              </w:rPr>
              <w:t>2015</w:t>
            </w:r>
          </w:p>
        </w:tc>
        <w:tc>
          <w:tcPr>
            <w:tcW w:w="992" w:type="dxa"/>
            <w:vAlign w:val="center"/>
          </w:tcPr>
          <w:p w:rsidR="009D1FF5" w:rsidRPr="00CA6939" w:rsidRDefault="009D1FF5" w:rsidP="00336387">
            <w:pPr>
              <w:keepNext/>
              <w:spacing w:before="60" w:after="60"/>
              <w:ind w:firstLine="0"/>
              <w:jc w:val="left"/>
              <w:rPr>
                <w:sz w:val="18"/>
                <w:szCs w:val="18"/>
                <w:lang w:val="en-US"/>
              </w:rPr>
            </w:pPr>
            <w:r w:rsidRPr="00CA6939">
              <w:rPr>
                <w:sz w:val="18"/>
                <w:szCs w:val="18"/>
                <w:lang w:val="en-US"/>
              </w:rPr>
              <w:t>0.452</w:t>
            </w:r>
          </w:p>
        </w:tc>
        <w:tc>
          <w:tcPr>
            <w:tcW w:w="992" w:type="dxa"/>
            <w:vAlign w:val="center"/>
          </w:tcPr>
          <w:p w:rsidR="009D1FF5" w:rsidRPr="00CA6939" w:rsidRDefault="009D1FF5" w:rsidP="00336387">
            <w:pPr>
              <w:keepNext/>
              <w:spacing w:before="60" w:after="60"/>
              <w:ind w:firstLine="0"/>
              <w:jc w:val="left"/>
              <w:rPr>
                <w:sz w:val="18"/>
                <w:szCs w:val="18"/>
                <w:lang w:val="en-US"/>
              </w:rPr>
            </w:pPr>
            <w:r w:rsidRPr="00CA6939">
              <w:rPr>
                <w:sz w:val="18"/>
                <w:szCs w:val="18"/>
                <w:lang w:val="en-US"/>
              </w:rPr>
              <w:t>0.392</w:t>
            </w:r>
          </w:p>
        </w:tc>
        <w:tc>
          <w:tcPr>
            <w:tcW w:w="992" w:type="dxa"/>
            <w:vAlign w:val="center"/>
          </w:tcPr>
          <w:p w:rsidR="009D1FF5" w:rsidRPr="00CA6939" w:rsidRDefault="009D1FF5" w:rsidP="00336387">
            <w:pPr>
              <w:keepNext/>
              <w:spacing w:before="60" w:after="60"/>
              <w:ind w:firstLine="0"/>
              <w:jc w:val="left"/>
              <w:rPr>
                <w:sz w:val="18"/>
                <w:szCs w:val="18"/>
                <w:lang w:val="en-US"/>
              </w:rPr>
            </w:pPr>
            <w:r w:rsidRPr="00CA6939">
              <w:rPr>
                <w:sz w:val="18"/>
                <w:szCs w:val="18"/>
                <w:lang w:val="en-US"/>
              </w:rPr>
              <w:t>0.518</w:t>
            </w:r>
          </w:p>
        </w:tc>
        <w:tc>
          <w:tcPr>
            <w:tcW w:w="992" w:type="dxa"/>
            <w:vAlign w:val="center"/>
          </w:tcPr>
          <w:p w:rsidR="009D1FF5" w:rsidRPr="00CA6939" w:rsidRDefault="009D1FF5" w:rsidP="00336387">
            <w:pPr>
              <w:keepNext/>
              <w:spacing w:before="60" w:after="60"/>
              <w:ind w:firstLine="0"/>
              <w:jc w:val="left"/>
              <w:rPr>
                <w:sz w:val="18"/>
                <w:szCs w:val="18"/>
                <w:lang w:val="en-US"/>
              </w:rPr>
            </w:pPr>
            <w:r w:rsidRPr="00CA6939">
              <w:rPr>
                <w:sz w:val="18"/>
                <w:szCs w:val="18"/>
                <w:lang w:val="en-US"/>
              </w:rPr>
              <w:t>0.547</w:t>
            </w:r>
          </w:p>
        </w:tc>
        <w:tc>
          <w:tcPr>
            <w:tcW w:w="992" w:type="dxa"/>
            <w:vAlign w:val="center"/>
          </w:tcPr>
          <w:p w:rsidR="009D1FF5" w:rsidRPr="00CA6939" w:rsidRDefault="009D1FF5" w:rsidP="00336387">
            <w:pPr>
              <w:keepNext/>
              <w:spacing w:before="60" w:after="60"/>
              <w:ind w:firstLine="0"/>
              <w:jc w:val="left"/>
              <w:rPr>
                <w:sz w:val="18"/>
                <w:szCs w:val="18"/>
                <w:lang w:val="en-US"/>
              </w:rPr>
            </w:pPr>
            <w:r w:rsidRPr="00CA6939">
              <w:rPr>
                <w:sz w:val="18"/>
                <w:szCs w:val="18"/>
                <w:lang w:val="en-US"/>
              </w:rPr>
              <w:t>0.913</w:t>
            </w:r>
          </w:p>
        </w:tc>
        <w:tc>
          <w:tcPr>
            <w:tcW w:w="992" w:type="dxa"/>
            <w:vAlign w:val="center"/>
          </w:tcPr>
          <w:p w:rsidR="009D1FF5" w:rsidRPr="00CA6939" w:rsidRDefault="009D1FF5" w:rsidP="00336387">
            <w:pPr>
              <w:keepNext/>
              <w:spacing w:before="60" w:after="60"/>
              <w:ind w:firstLine="0"/>
              <w:jc w:val="left"/>
              <w:rPr>
                <w:sz w:val="18"/>
                <w:szCs w:val="18"/>
                <w:lang w:val="en-US"/>
              </w:rPr>
            </w:pPr>
            <w:r w:rsidRPr="00CA6939">
              <w:rPr>
                <w:sz w:val="18"/>
                <w:szCs w:val="18"/>
                <w:lang w:val="en-US"/>
              </w:rPr>
              <w:t>1.000</w:t>
            </w:r>
          </w:p>
        </w:tc>
        <w:tc>
          <w:tcPr>
            <w:tcW w:w="992" w:type="dxa"/>
            <w:vAlign w:val="center"/>
          </w:tcPr>
          <w:p w:rsidR="009D1FF5" w:rsidRPr="00CA6939" w:rsidRDefault="009D1FF5" w:rsidP="00336387">
            <w:pPr>
              <w:keepNext/>
              <w:spacing w:before="60" w:after="60"/>
              <w:ind w:firstLine="0"/>
              <w:jc w:val="left"/>
              <w:rPr>
                <w:sz w:val="18"/>
                <w:szCs w:val="18"/>
                <w:lang w:val="en-US"/>
              </w:rPr>
            </w:pPr>
          </w:p>
        </w:tc>
        <w:tc>
          <w:tcPr>
            <w:tcW w:w="992" w:type="dxa"/>
            <w:vAlign w:val="center"/>
          </w:tcPr>
          <w:p w:rsidR="009D1FF5" w:rsidRPr="00CA6939" w:rsidRDefault="009D1FF5" w:rsidP="00336387">
            <w:pPr>
              <w:keepNext/>
              <w:spacing w:before="60" w:after="60"/>
              <w:ind w:firstLine="0"/>
              <w:jc w:val="left"/>
              <w:rPr>
                <w:sz w:val="18"/>
                <w:szCs w:val="18"/>
                <w:lang w:val="en-US"/>
              </w:rPr>
            </w:pPr>
          </w:p>
        </w:tc>
      </w:tr>
      <w:tr w:rsidR="009D1FF5" w:rsidRPr="00CA6939" w:rsidTr="009D1FF5">
        <w:trPr>
          <w:trHeight w:val="126"/>
          <w:jc w:val="center"/>
        </w:trPr>
        <w:tc>
          <w:tcPr>
            <w:tcW w:w="992" w:type="dxa"/>
          </w:tcPr>
          <w:p w:rsidR="009D1FF5" w:rsidRPr="00CA6939" w:rsidRDefault="009D1FF5" w:rsidP="00336387">
            <w:pPr>
              <w:pStyle w:val="Els-table-text"/>
              <w:keepNext/>
              <w:spacing w:before="60" w:after="60" w:line="240" w:lineRule="auto"/>
              <w:ind w:left="-57" w:right="-57"/>
              <w:rPr>
                <w:rFonts w:ascii="Cambria" w:hAnsi="Cambria"/>
                <w:sz w:val="18"/>
              </w:rPr>
            </w:pPr>
            <w:r w:rsidRPr="00CA6939">
              <w:rPr>
                <w:rFonts w:ascii="Cambria" w:hAnsi="Cambria"/>
                <w:sz w:val="18"/>
              </w:rPr>
              <w:t xml:space="preserve">CCI </w:t>
            </w:r>
            <w:r w:rsidRPr="00CA6939">
              <w:rPr>
                <w:rFonts w:ascii="Cambria" w:hAnsi="Cambria"/>
              </w:rPr>
              <w:t>2013</w:t>
            </w:r>
          </w:p>
        </w:tc>
        <w:tc>
          <w:tcPr>
            <w:tcW w:w="992" w:type="dxa"/>
            <w:vAlign w:val="center"/>
          </w:tcPr>
          <w:p w:rsidR="009D1FF5" w:rsidRPr="00CA6939" w:rsidRDefault="009D1FF5" w:rsidP="00336387">
            <w:pPr>
              <w:keepNext/>
              <w:spacing w:before="60" w:after="60"/>
              <w:ind w:firstLine="0"/>
              <w:jc w:val="left"/>
              <w:rPr>
                <w:sz w:val="18"/>
                <w:szCs w:val="18"/>
                <w:lang w:val="en-US"/>
              </w:rPr>
            </w:pPr>
            <w:r w:rsidRPr="00CA6939">
              <w:rPr>
                <w:sz w:val="18"/>
                <w:szCs w:val="18"/>
                <w:lang w:val="en-US"/>
              </w:rPr>
              <w:t>0.423</w:t>
            </w:r>
          </w:p>
        </w:tc>
        <w:tc>
          <w:tcPr>
            <w:tcW w:w="992" w:type="dxa"/>
            <w:vAlign w:val="center"/>
          </w:tcPr>
          <w:p w:rsidR="009D1FF5" w:rsidRPr="00CA6939" w:rsidRDefault="009D1FF5" w:rsidP="00336387">
            <w:pPr>
              <w:keepNext/>
              <w:spacing w:before="60" w:after="60"/>
              <w:ind w:firstLine="0"/>
              <w:jc w:val="left"/>
              <w:rPr>
                <w:sz w:val="18"/>
                <w:szCs w:val="18"/>
                <w:lang w:val="en-US"/>
              </w:rPr>
            </w:pPr>
            <w:r w:rsidRPr="00CA6939">
              <w:rPr>
                <w:sz w:val="18"/>
                <w:szCs w:val="18"/>
                <w:lang w:val="en-US"/>
              </w:rPr>
              <w:t>0.368</w:t>
            </w:r>
          </w:p>
        </w:tc>
        <w:tc>
          <w:tcPr>
            <w:tcW w:w="992" w:type="dxa"/>
            <w:vAlign w:val="center"/>
          </w:tcPr>
          <w:p w:rsidR="009D1FF5" w:rsidRPr="00CA6939" w:rsidRDefault="009D1FF5" w:rsidP="00336387">
            <w:pPr>
              <w:keepNext/>
              <w:spacing w:before="60" w:after="60"/>
              <w:ind w:firstLine="0"/>
              <w:jc w:val="left"/>
              <w:rPr>
                <w:sz w:val="18"/>
                <w:szCs w:val="18"/>
                <w:lang w:val="en-US"/>
              </w:rPr>
            </w:pPr>
            <w:r w:rsidRPr="00CA6939">
              <w:rPr>
                <w:sz w:val="18"/>
                <w:szCs w:val="18"/>
                <w:lang w:val="en-US"/>
              </w:rPr>
              <w:t>0.548</w:t>
            </w:r>
          </w:p>
        </w:tc>
        <w:tc>
          <w:tcPr>
            <w:tcW w:w="992" w:type="dxa"/>
            <w:vAlign w:val="center"/>
          </w:tcPr>
          <w:p w:rsidR="009D1FF5" w:rsidRPr="00CA6939" w:rsidRDefault="009D1FF5" w:rsidP="00336387">
            <w:pPr>
              <w:keepNext/>
              <w:spacing w:before="60" w:after="60"/>
              <w:ind w:firstLine="0"/>
              <w:jc w:val="left"/>
              <w:rPr>
                <w:sz w:val="18"/>
                <w:szCs w:val="18"/>
                <w:lang w:val="en-US"/>
              </w:rPr>
            </w:pPr>
            <w:r w:rsidRPr="00CA6939">
              <w:rPr>
                <w:sz w:val="18"/>
                <w:szCs w:val="18"/>
                <w:lang w:val="en-US"/>
              </w:rPr>
              <w:t>0.545</w:t>
            </w:r>
          </w:p>
        </w:tc>
        <w:tc>
          <w:tcPr>
            <w:tcW w:w="992" w:type="dxa"/>
            <w:vAlign w:val="center"/>
          </w:tcPr>
          <w:p w:rsidR="009D1FF5" w:rsidRPr="00CA6939" w:rsidRDefault="009D1FF5" w:rsidP="00336387">
            <w:pPr>
              <w:keepNext/>
              <w:spacing w:before="60" w:after="60"/>
              <w:ind w:firstLine="0"/>
              <w:jc w:val="left"/>
              <w:rPr>
                <w:sz w:val="18"/>
                <w:szCs w:val="18"/>
                <w:lang w:val="en-US"/>
              </w:rPr>
            </w:pPr>
            <w:r w:rsidRPr="00CA6939">
              <w:rPr>
                <w:sz w:val="18"/>
                <w:szCs w:val="18"/>
                <w:lang w:val="en-US"/>
              </w:rPr>
              <w:t>0.925</w:t>
            </w:r>
          </w:p>
        </w:tc>
        <w:tc>
          <w:tcPr>
            <w:tcW w:w="992" w:type="dxa"/>
            <w:vAlign w:val="center"/>
          </w:tcPr>
          <w:p w:rsidR="009D1FF5" w:rsidRPr="00CA6939" w:rsidRDefault="009D1FF5" w:rsidP="00336387">
            <w:pPr>
              <w:keepNext/>
              <w:spacing w:before="60" w:after="60"/>
              <w:ind w:firstLine="0"/>
              <w:jc w:val="left"/>
              <w:rPr>
                <w:sz w:val="18"/>
                <w:szCs w:val="18"/>
                <w:lang w:val="en-US"/>
              </w:rPr>
            </w:pPr>
            <w:r w:rsidRPr="00CA6939">
              <w:rPr>
                <w:sz w:val="18"/>
                <w:szCs w:val="18"/>
                <w:lang w:val="en-US"/>
              </w:rPr>
              <w:t>0.895</w:t>
            </w:r>
          </w:p>
        </w:tc>
        <w:tc>
          <w:tcPr>
            <w:tcW w:w="992" w:type="dxa"/>
            <w:vAlign w:val="center"/>
          </w:tcPr>
          <w:p w:rsidR="009D1FF5" w:rsidRPr="00CA6939" w:rsidRDefault="009D1FF5" w:rsidP="00336387">
            <w:pPr>
              <w:keepNext/>
              <w:spacing w:before="60" w:after="60"/>
              <w:ind w:firstLine="0"/>
              <w:jc w:val="left"/>
              <w:rPr>
                <w:sz w:val="18"/>
                <w:szCs w:val="18"/>
                <w:lang w:val="en-US"/>
              </w:rPr>
            </w:pPr>
            <w:r w:rsidRPr="00CA6939">
              <w:rPr>
                <w:sz w:val="18"/>
                <w:szCs w:val="18"/>
                <w:lang w:val="en-US"/>
              </w:rPr>
              <w:t>1.000</w:t>
            </w:r>
          </w:p>
        </w:tc>
        <w:tc>
          <w:tcPr>
            <w:tcW w:w="992" w:type="dxa"/>
            <w:vAlign w:val="center"/>
          </w:tcPr>
          <w:p w:rsidR="009D1FF5" w:rsidRPr="00CA6939" w:rsidRDefault="009D1FF5" w:rsidP="00336387">
            <w:pPr>
              <w:keepNext/>
              <w:spacing w:before="60" w:after="60"/>
              <w:ind w:firstLine="0"/>
              <w:jc w:val="left"/>
              <w:rPr>
                <w:sz w:val="18"/>
                <w:szCs w:val="18"/>
                <w:lang w:val="en-US"/>
              </w:rPr>
            </w:pPr>
          </w:p>
        </w:tc>
      </w:tr>
      <w:tr w:rsidR="009D1FF5" w:rsidRPr="00CA6939" w:rsidTr="009D1FF5">
        <w:trPr>
          <w:trHeight w:val="126"/>
          <w:jc w:val="center"/>
        </w:trPr>
        <w:tc>
          <w:tcPr>
            <w:tcW w:w="992" w:type="dxa"/>
            <w:tcBorders>
              <w:bottom w:val="single" w:sz="4" w:space="0" w:color="auto"/>
            </w:tcBorders>
          </w:tcPr>
          <w:p w:rsidR="009D1FF5" w:rsidRPr="00CA6939" w:rsidRDefault="009D1FF5" w:rsidP="00336387">
            <w:pPr>
              <w:pStyle w:val="Els-table-text"/>
              <w:keepNext/>
              <w:spacing w:before="60" w:after="60" w:line="240" w:lineRule="auto"/>
              <w:ind w:left="-57" w:right="-57"/>
              <w:rPr>
                <w:rFonts w:ascii="Cambria" w:hAnsi="Cambria"/>
                <w:sz w:val="18"/>
              </w:rPr>
            </w:pPr>
            <w:r w:rsidRPr="00CA6939">
              <w:rPr>
                <w:rFonts w:ascii="Cambria" w:hAnsi="Cambria"/>
                <w:sz w:val="18"/>
              </w:rPr>
              <w:t xml:space="preserve">CCI </w:t>
            </w:r>
            <w:r w:rsidRPr="00CA6939">
              <w:rPr>
                <w:rFonts w:ascii="Cambria" w:hAnsi="Cambria"/>
              </w:rPr>
              <w:t>2015</w:t>
            </w:r>
          </w:p>
        </w:tc>
        <w:tc>
          <w:tcPr>
            <w:tcW w:w="992" w:type="dxa"/>
            <w:tcBorders>
              <w:bottom w:val="single" w:sz="4" w:space="0" w:color="auto"/>
            </w:tcBorders>
            <w:vAlign w:val="center"/>
          </w:tcPr>
          <w:p w:rsidR="009D1FF5" w:rsidRPr="00CA6939" w:rsidRDefault="009D1FF5" w:rsidP="00336387">
            <w:pPr>
              <w:keepNext/>
              <w:spacing w:before="60" w:after="60"/>
              <w:ind w:firstLine="0"/>
              <w:jc w:val="left"/>
              <w:rPr>
                <w:sz w:val="18"/>
                <w:szCs w:val="18"/>
                <w:lang w:val="en-US"/>
              </w:rPr>
            </w:pPr>
            <w:r w:rsidRPr="00CA6939">
              <w:rPr>
                <w:sz w:val="18"/>
                <w:szCs w:val="18"/>
                <w:lang w:val="en-US"/>
              </w:rPr>
              <w:t>0.394</w:t>
            </w:r>
          </w:p>
        </w:tc>
        <w:tc>
          <w:tcPr>
            <w:tcW w:w="992" w:type="dxa"/>
            <w:tcBorders>
              <w:bottom w:val="single" w:sz="4" w:space="0" w:color="auto"/>
            </w:tcBorders>
            <w:vAlign w:val="center"/>
          </w:tcPr>
          <w:p w:rsidR="009D1FF5" w:rsidRPr="00CA6939" w:rsidRDefault="009D1FF5" w:rsidP="00336387">
            <w:pPr>
              <w:keepNext/>
              <w:spacing w:before="60" w:after="60"/>
              <w:ind w:firstLine="0"/>
              <w:jc w:val="left"/>
              <w:rPr>
                <w:sz w:val="18"/>
                <w:szCs w:val="18"/>
                <w:lang w:val="en-US"/>
              </w:rPr>
            </w:pPr>
            <w:r w:rsidRPr="00CA6939">
              <w:rPr>
                <w:sz w:val="18"/>
                <w:szCs w:val="18"/>
                <w:lang w:val="en-US"/>
              </w:rPr>
              <w:t>0.332</w:t>
            </w:r>
          </w:p>
        </w:tc>
        <w:tc>
          <w:tcPr>
            <w:tcW w:w="992" w:type="dxa"/>
            <w:tcBorders>
              <w:bottom w:val="single" w:sz="4" w:space="0" w:color="auto"/>
            </w:tcBorders>
            <w:vAlign w:val="center"/>
          </w:tcPr>
          <w:p w:rsidR="009D1FF5" w:rsidRPr="00CA6939" w:rsidRDefault="009D1FF5" w:rsidP="00336387">
            <w:pPr>
              <w:keepNext/>
              <w:spacing w:before="60" w:after="60"/>
              <w:ind w:firstLine="0"/>
              <w:jc w:val="left"/>
              <w:rPr>
                <w:sz w:val="18"/>
                <w:szCs w:val="18"/>
                <w:lang w:val="en-US"/>
              </w:rPr>
            </w:pPr>
            <w:r w:rsidRPr="00CA6939">
              <w:rPr>
                <w:sz w:val="18"/>
                <w:szCs w:val="18"/>
                <w:lang w:val="en-US"/>
              </w:rPr>
              <w:t>0.519</w:t>
            </w:r>
          </w:p>
        </w:tc>
        <w:tc>
          <w:tcPr>
            <w:tcW w:w="992" w:type="dxa"/>
            <w:tcBorders>
              <w:bottom w:val="single" w:sz="4" w:space="0" w:color="auto"/>
            </w:tcBorders>
            <w:vAlign w:val="center"/>
          </w:tcPr>
          <w:p w:rsidR="009D1FF5" w:rsidRPr="00CA6939" w:rsidRDefault="009D1FF5" w:rsidP="00336387">
            <w:pPr>
              <w:keepNext/>
              <w:spacing w:before="60" w:after="60"/>
              <w:ind w:firstLine="0"/>
              <w:jc w:val="left"/>
              <w:rPr>
                <w:sz w:val="18"/>
                <w:szCs w:val="18"/>
                <w:lang w:val="en-US"/>
              </w:rPr>
            </w:pPr>
            <w:r w:rsidRPr="00CA6939">
              <w:rPr>
                <w:sz w:val="18"/>
                <w:szCs w:val="18"/>
                <w:lang w:val="en-US"/>
              </w:rPr>
              <w:t>0.528</w:t>
            </w:r>
          </w:p>
        </w:tc>
        <w:tc>
          <w:tcPr>
            <w:tcW w:w="992" w:type="dxa"/>
            <w:tcBorders>
              <w:bottom w:val="single" w:sz="4" w:space="0" w:color="auto"/>
            </w:tcBorders>
            <w:vAlign w:val="center"/>
          </w:tcPr>
          <w:p w:rsidR="009D1FF5" w:rsidRPr="00CA6939" w:rsidRDefault="009D1FF5" w:rsidP="00336387">
            <w:pPr>
              <w:keepNext/>
              <w:spacing w:before="60" w:after="60"/>
              <w:ind w:firstLine="0"/>
              <w:jc w:val="left"/>
              <w:rPr>
                <w:sz w:val="18"/>
                <w:szCs w:val="18"/>
                <w:lang w:val="en-US"/>
              </w:rPr>
            </w:pPr>
            <w:r w:rsidRPr="00CA6939">
              <w:rPr>
                <w:sz w:val="18"/>
                <w:szCs w:val="18"/>
                <w:lang w:val="en-US"/>
              </w:rPr>
              <w:t>0.900</w:t>
            </w:r>
          </w:p>
        </w:tc>
        <w:tc>
          <w:tcPr>
            <w:tcW w:w="992" w:type="dxa"/>
            <w:tcBorders>
              <w:bottom w:val="single" w:sz="4" w:space="0" w:color="auto"/>
            </w:tcBorders>
            <w:vAlign w:val="center"/>
          </w:tcPr>
          <w:p w:rsidR="009D1FF5" w:rsidRPr="00CA6939" w:rsidRDefault="009D1FF5" w:rsidP="00336387">
            <w:pPr>
              <w:keepNext/>
              <w:spacing w:before="60" w:after="60"/>
              <w:ind w:firstLine="0"/>
              <w:jc w:val="left"/>
              <w:rPr>
                <w:sz w:val="18"/>
                <w:szCs w:val="18"/>
                <w:lang w:val="en-US"/>
              </w:rPr>
            </w:pPr>
            <w:r w:rsidRPr="00CA6939">
              <w:rPr>
                <w:sz w:val="18"/>
                <w:szCs w:val="18"/>
                <w:lang w:val="en-US"/>
              </w:rPr>
              <w:t>0.898</w:t>
            </w:r>
          </w:p>
        </w:tc>
        <w:tc>
          <w:tcPr>
            <w:tcW w:w="992" w:type="dxa"/>
            <w:tcBorders>
              <w:bottom w:val="single" w:sz="4" w:space="0" w:color="auto"/>
            </w:tcBorders>
            <w:vAlign w:val="center"/>
          </w:tcPr>
          <w:p w:rsidR="009D1FF5" w:rsidRPr="00CA6939" w:rsidRDefault="009D1FF5" w:rsidP="00336387">
            <w:pPr>
              <w:keepNext/>
              <w:spacing w:before="60" w:after="60"/>
              <w:ind w:firstLine="0"/>
              <w:jc w:val="left"/>
              <w:rPr>
                <w:sz w:val="18"/>
                <w:szCs w:val="18"/>
                <w:lang w:val="en-US"/>
              </w:rPr>
            </w:pPr>
            <w:r w:rsidRPr="00CA6939">
              <w:rPr>
                <w:sz w:val="18"/>
                <w:szCs w:val="18"/>
                <w:lang w:val="en-US"/>
              </w:rPr>
              <w:t>0.903</w:t>
            </w:r>
          </w:p>
        </w:tc>
        <w:tc>
          <w:tcPr>
            <w:tcW w:w="992" w:type="dxa"/>
            <w:tcBorders>
              <w:bottom w:val="single" w:sz="4" w:space="0" w:color="auto"/>
            </w:tcBorders>
            <w:vAlign w:val="center"/>
          </w:tcPr>
          <w:p w:rsidR="009D1FF5" w:rsidRPr="00CA6939" w:rsidRDefault="009D1FF5" w:rsidP="00336387">
            <w:pPr>
              <w:keepNext/>
              <w:spacing w:before="60" w:after="60"/>
              <w:ind w:firstLine="0"/>
              <w:jc w:val="left"/>
              <w:rPr>
                <w:sz w:val="18"/>
                <w:szCs w:val="18"/>
                <w:lang w:val="en-US"/>
              </w:rPr>
            </w:pPr>
            <w:r w:rsidRPr="00CA6939">
              <w:rPr>
                <w:sz w:val="18"/>
                <w:szCs w:val="18"/>
                <w:lang w:val="en-US"/>
              </w:rPr>
              <w:t>1.000</w:t>
            </w:r>
          </w:p>
        </w:tc>
      </w:tr>
    </w:tbl>
    <w:p w:rsidR="006761C9" w:rsidRPr="00CA6939" w:rsidRDefault="006761C9" w:rsidP="001E1703">
      <w:pPr>
        <w:rPr>
          <w:lang w:val="en-US"/>
        </w:rPr>
      </w:pPr>
    </w:p>
    <w:p w:rsidR="00BE50B2" w:rsidRPr="00CA6939" w:rsidRDefault="00336387" w:rsidP="00336387">
      <w:pPr>
        <w:rPr>
          <w:lang w:val="en-US"/>
        </w:rPr>
      </w:pPr>
      <w:r w:rsidRPr="00336387">
        <w:rPr>
          <w:lang w:val="en-US"/>
        </w:rPr>
        <w:t xml:space="preserve">As presented above, the ODBI has stronger relationship with both CPI and CCI than GODI, hence, this relationship will be investigated more thoroughly. </w:t>
      </w:r>
      <w:r w:rsidR="00BE50B2" w:rsidRPr="00CA6939">
        <w:rPr>
          <w:lang w:val="en-US"/>
        </w:rPr>
        <w:t xml:space="preserve">Figure 1 </w:t>
      </w:r>
      <w:r w:rsidR="00137D56" w:rsidRPr="00CA6939">
        <w:rPr>
          <w:lang w:val="en-US"/>
        </w:rPr>
        <w:t xml:space="preserve">shows a simple linear regression model. There is the ODBI on the x-axis and the CPI </w:t>
      </w:r>
      <w:r w:rsidR="00730675">
        <w:rPr>
          <w:lang w:val="en-US"/>
        </w:rPr>
        <w:t xml:space="preserve">(CCI) </w:t>
      </w:r>
      <w:r w:rsidR="00137D56" w:rsidRPr="00CA6939">
        <w:rPr>
          <w:lang w:val="en-US"/>
        </w:rPr>
        <w:t xml:space="preserve">on the y-axis for both years. This positive relationship is </w:t>
      </w:r>
      <w:r w:rsidR="00C9491F">
        <w:rPr>
          <w:lang w:val="en-US"/>
        </w:rPr>
        <w:t xml:space="preserve">then </w:t>
      </w:r>
      <w:r w:rsidR="00137D56" w:rsidRPr="00CA6939">
        <w:rPr>
          <w:lang w:val="en-US"/>
        </w:rPr>
        <w:t xml:space="preserve">illustrated in the scatterplot, which is </w:t>
      </w:r>
      <w:r w:rsidR="00730675">
        <w:rPr>
          <w:lang w:val="en-US"/>
        </w:rPr>
        <w:t>explained</w:t>
      </w:r>
      <w:r w:rsidR="00137D56" w:rsidRPr="00CA6939">
        <w:rPr>
          <w:lang w:val="en-US"/>
        </w:rPr>
        <w:t xml:space="preserve"> by the linear regression line. </w:t>
      </w:r>
      <w:r>
        <w:rPr>
          <w:lang w:val="en-US"/>
        </w:rPr>
        <w:t>T</w:t>
      </w:r>
      <w:r w:rsidR="00137D56" w:rsidRPr="00CA6939">
        <w:rPr>
          <w:lang w:val="en-US"/>
        </w:rPr>
        <w:t>here can be seen better results in 2015, especially in the improvement of data openness on the national level.</w:t>
      </w:r>
      <w:r w:rsidR="00D12FC6" w:rsidRPr="00CA6939">
        <w:rPr>
          <w:lang w:val="en-US"/>
        </w:rPr>
        <w:t xml:space="preserve"> </w:t>
      </w:r>
      <w:r w:rsidR="00BE50B2" w:rsidRPr="00CA6939">
        <w:rPr>
          <w:lang w:val="en-US"/>
        </w:rPr>
        <w:t>Figure 2</w:t>
      </w:r>
      <w:r w:rsidR="00D12FC6" w:rsidRPr="00CA6939">
        <w:rPr>
          <w:lang w:val="en-US"/>
        </w:rPr>
        <w:t xml:space="preserve"> shows the same scatterplot </w:t>
      </w:r>
      <w:r w:rsidR="004114E9">
        <w:rPr>
          <w:lang w:val="en-US"/>
        </w:rPr>
        <w:t>with</w:t>
      </w:r>
      <w:r w:rsidR="00D12FC6" w:rsidRPr="00CA6939">
        <w:rPr>
          <w:lang w:val="en-US"/>
        </w:rPr>
        <w:t xml:space="preserve"> the CCI as dependent variable</w:t>
      </w:r>
      <w:r w:rsidR="00BE50B2" w:rsidRPr="00CA6939">
        <w:rPr>
          <w:lang w:val="en-US"/>
        </w:rPr>
        <w:t>.</w:t>
      </w:r>
    </w:p>
    <w:p w:rsidR="00AF03B2" w:rsidRPr="00CA6939" w:rsidRDefault="00AF03B2" w:rsidP="00D12FC6">
      <w:pPr>
        <w:rPr>
          <w:lang w:val="en-US"/>
        </w:rPr>
      </w:pPr>
    </w:p>
    <w:p w:rsidR="0051617C" w:rsidRPr="00CA6939" w:rsidRDefault="0051617C" w:rsidP="00C9049A">
      <w:pPr>
        <w:pStyle w:val="Els-caption"/>
        <w:keepNext/>
        <w:keepLines w:val="0"/>
        <w:spacing w:before="120" w:after="120"/>
        <w:jc w:val="center"/>
        <w:rPr>
          <w:rFonts w:ascii="Cambria" w:hAnsi="Cambria"/>
          <w:b/>
          <w:sz w:val="18"/>
        </w:rPr>
      </w:pPr>
      <w:r w:rsidRPr="00CA6939">
        <w:rPr>
          <w:rFonts w:ascii="Cambria" w:hAnsi="Cambria"/>
          <w:b/>
          <w:sz w:val="18"/>
        </w:rPr>
        <w:t>Figure 1</w:t>
      </w:r>
      <w:r w:rsidR="00AF03B2" w:rsidRPr="00CA6939">
        <w:rPr>
          <w:rFonts w:ascii="Cambria" w:hAnsi="Cambria"/>
          <w:b/>
          <w:sz w:val="18"/>
        </w:rPr>
        <w:t>. The relationship between the ODBI and CPI in 2013 and 2015 (Source: Author</w:t>
      </w:r>
      <w:r w:rsidRPr="00CA6939">
        <w:rPr>
          <w:rFonts w:ascii="Cambria" w:hAnsi="Cambria"/>
          <w:b/>
          <w:sz w:val="18"/>
        </w:rPr>
        <w:t>)</w:t>
      </w:r>
    </w:p>
    <w:p w:rsidR="0051617C" w:rsidRPr="00CA6939" w:rsidRDefault="008B2875" w:rsidP="00C9049A">
      <w:pPr>
        <w:keepNext/>
        <w:spacing w:before="120"/>
        <w:ind w:firstLine="0"/>
        <w:jc w:val="center"/>
        <w:rPr>
          <w:lang w:val="en-US"/>
        </w:rPr>
      </w:pPr>
      <w:r>
        <w:rPr>
          <w:noProof/>
        </w:rPr>
        <w:drawing>
          <wp:inline distT="0" distB="0" distL="0" distR="0" wp14:anchorId="2111FAC3" wp14:editId="49CDD8EA">
            <wp:extent cx="2876550" cy="2143125"/>
            <wp:effectExtent l="0" t="0" r="0" b="9525"/>
            <wp:docPr id="2" name="obrázek 2" descr="CPI 2013 vs ODBI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I 2013 vs ODBI 2013"/>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2876550" cy="2143125"/>
                    </a:xfrm>
                    <a:prstGeom prst="rect">
                      <a:avLst/>
                    </a:prstGeom>
                    <a:noFill/>
                    <a:ln>
                      <a:noFill/>
                    </a:ln>
                  </pic:spPr>
                </pic:pic>
              </a:graphicData>
            </a:graphic>
          </wp:inline>
        </w:drawing>
      </w:r>
      <w:r>
        <w:rPr>
          <w:noProof/>
        </w:rPr>
        <w:drawing>
          <wp:inline distT="0" distB="0" distL="0" distR="0" wp14:anchorId="79076D2F" wp14:editId="2CF49EA9">
            <wp:extent cx="2876550" cy="2152650"/>
            <wp:effectExtent l="0" t="0" r="0" b="0"/>
            <wp:docPr id="3" name="obrázek 3" descr="CPI 2015 vs ODBI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I 2015 vs ODBI 2015"/>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2876550" cy="2152650"/>
                    </a:xfrm>
                    <a:prstGeom prst="rect">
                      <a:avLst/>
                    </a:prstGeom>
                    <a:noFill/>
                    <a:ln>
                      <a:noFill/>
                    </a:ln>
                  </pic:spPr>
                </pic:pic>
              </a:graphicData>
            </a:graphic>
          </wp:inline>
        </w:drawing>
      </w:r>
    </w:p>
    <w:p w:rsidR="00AF03B2" w:rsidRPr="00CA6939" w:rsidRDefault="00AF03B2" w:rsidP="00AF03B2">
      <w:pPr>
        <w:rPr>
          <w:lang w:val="en-US"/>
        </w:rPr>
      </w:pPr>
    </w:p>
    <w:p w:rsidR="00AF03B2" w:rsidRPr="00CA6939" w:rsidRDefault="00AF03B2" w:rsidP="00C9049A">
      <w:pPr>
        <w:pStyle w:val="Els-caption"/>
        <w:keepNext/>
        <w:keepLines w:val="0"/>
        <w:spacing w:before="120" w:after="120"/>
        <w:jc w:val="center"/>
        <w:rPr>
          <w:rFonts w:ascii="Cambria" w:hAnsi="Cambria"/>
          <w:b/>
          <w:sz w:val="18"/>
        </w:rPr>
      </w:pPr>
      <w:r w:rsidRPr="00CA6939">
        <w:rPr>
          <w:rFonts w:ascii="Cambria" w:hAnsi="Cambria"/>
          <w:b/>
          <w:sz w:val="18"/>
        </w:rPr>
        <w:t>Figure 2. The relationship between the ODBI and CCI in 2013 and 2015 (Source: Author)</w:t>
      </w:r>
    </w:p>
    <w:p w:rsidR="00AF03B2" w:rsidRPr="00CA6939" w:rsidRDefault="008B2875" w:rsidP="00C9049A">
      <w:pPr>
        <w:keepNext/>
        <w:spacing w:before="120"/>
        <w:ind w:firstLine="0"/>
        <w:jc w:val="center"/>
        <w:rPr>
          <w:lang w:val="en-US"/>
        </w:rPr>
      </w:pPr>
      <w:r>
        <w:rPr>
          <w:noProof/>
        </w:rPr>
        <w:drawing>
          <wp:inline distT="0" distB="0" distL="0" distR="0" wp14:anchorId="3F77732A" wp14:editId="6489EDD1">
            <wp:extent cx="2838450" cy="2114550"/>
            <wp:effectExtent l="0" t="0" r="0" b="0"/>
            <wp:docPr id="4" name="obrázek 4" descr="CCI 2013 vs ODBI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I 2013 vs ODBI 2013"/>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2838450" cy="2114550"/>
                    </a:xfrm>
                    <a:prstGeom prst="rect">
                      <a:avLst/>
                    </a:prstGeom>
                    <a:noFill/>
                    <a:ln>
                      <a:noFill/>
                    </a:ln>
                  </pic:spPr>
                </pic:pic>
              </a:graphicData>
            </a:graphic>
          </wp:inline>
        </w:drawing>
      </w:r>
      <w:r>
        <w:rPr>
          <w:noProof/>
        </w:rPr>
        <w:drawing>
          <wp:inline distT="0" distB="0" distL="0" distR="0" wp14:anchorId="1A7569C8" wp14:editId="2567E4FD">
            <wp:extent cx="2838450" cy="2124075"/>
            <wp:effectExtent l="0" t="0" r="0" b="9525"/>
            <wp:docPr id="5" name="obrázek 5" descr="CCI 2015 vs ODBI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I 2015 vs ODBI 2015"/>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838450" cy="2124075"/>
                    </a:xfrm>
                    <a:prstGeom prst="rect">
                      <a:avLst/>
                    </a:prstGeom>
                    <a:noFill/>
                    <a:ln>
                      <a:noFill/>
                    </a:ln>
                  </pic:spPr>
                </pic:pic>
              </a:graphicData>
            </a:graphic>
          </wp:inline>
        </w:drawing>
      </w:r>
    </w:p>
    <w:p w:rsidR="0051617C" w:rsidRPr="00CA6939" w:rsidRDefault="0051617C" w:rsidP="001E1703">
      <w:pPr>
        <w:rPr>
          <w:lang w:val="en-US"/>
        </w:rPr>
      </w:pPr>
    </w:p>
    <w:p w:rsidR="004114E9" w:rsidRDefault="00336387" w:rsidP="00D33E63">
      <w:pPr>
        <w:rPr>
          <w:lang w:val="en-US"/>
        </w:rPr>
      </w:pPr>
      <w:r>
        <w:rPr>
          <w:lang w:val="en-US"/>
        </w:rPr>
        <w:lastRenderedPageBreak/>
        <w:t>As mentioned above, h</w:t>
      </w:r>
      <w:r w:rsidRPr="00CA6939">
        <w:rPr>
          <w:lang w:val="en-US"/>
        </w:rPr>
        <w:t>igh</w:t>
      </w:r>
      <w:r>
        <w:rPr>
          <w:lang w:val="en-US"/>
        </w:rPr>
        <w:t>er</w:t>
      </w:r>
      <w:r w:rsidRPr="00CA6939">
        <w:rPr>
          <w:lang w:val="en-US"/>
        </w:rPr>
        <w:t xml:space="preserve"> values of </w:t>
      </w:r>
      <w:r>
        <w:rPr>
          <w:lang w:val="en-US"/>
        </w:rPr>
        <w:t>ODBI</w:t>
      </w:r>
      <w:r w:rsidRPr="00CA6939">
        <w:rPr>
          <w:lang w:val="en-US"/>
        </w:rPr>
        <w:t xml:space="preserve"> indicate bigger effects of open data initiatives</w:t>
      </w:r>
      <w:r>
        <w:rPr>
          <w:lang w:val="en-US"/>
        </w:rPr>
        <w:t xml:space="preserve"> and projects,</w:t>
      </w:r>
      <w:r w:rsidRPr="00CA6939">
        <w:rPr>
          <w:lang w:val="en-US"/>
        </w:rPr>
        <w:t xml:space="preserve"> and higher CPI </w:t>
      </w:r>
      <w:r>
        <w:rPr>
          <w:lang w:val="en-US"/>
        </w:rPr>
        <w:t xml:space="preserve">or CCI </w:t>
      </w:r>
      <w:r w:rsidRPr="00CA6939">
        <w:rPr>
          <w:lang w:val="en-US"/>
        </w:rPr>
        <w:t>values indicate less corruption in the country</w:t>
      </w:r>
      <w:r>
        <w:rPr>
          <w:lang w:val="en-US"/>
        </w:rPr>
        <w:t xml:space="preserve">, i.e., it is </w:t>
      </w:r>
      <w:r w:rsidRPr="00730675">
        <w:rPr>
          <w:lang w:val="en-US"/>
        </w:rPr>
        <w:t>perceived to be very clean</w:t>
      </w:r>
      <w:r>
        <w:rPr>
          <w:lang w:val="en-US"/>
        </w:rPr>
        <w:t xml:space="preserve"> with strong</w:t>
      </w:r>
      <w:r w:rsidRPr="00730675">
        <w:rPr>
          <w:lang w:val="en-US"/>
        </w:rPr>
        <w:t xml:space="preserve"> governance performance</w:t>
      </w:r>
      <w:r>
        <w:rPr>
          <w:lang w:val="en-US"/>
        </w:rPr>
        <w:t xml:space="preserve"> and </w:t>
      </w:r>
      <w:r w:rsidRPr="00730675">
        <w:rPr>
          <w:lang w:val="en-US"/>
        </w:rPr>
        <w:t>a stable political and economic situation</w:t>
      </w:r>
      <w:r w:rsidRPr="00CA6939">
        <w:rPr>
          <w:lang w:val="en-US"/>
        </w:rPr>
        <w:t xml:space="preserve">. </w:t>
      </w:r>
      <w:r w:rsidR="00F2098C" w:rsidRPr="00CA6939">
        <w:rPr>
          <w:lang w:val="en-US"/>
        </w:rPr>
        <w:t xml:space="preserve">Focusing on the best performing countries, Denmark, New Zealand, Finland, Norway and Netherlands are among the best performers. Therefore, these countries may serve as a source of practical guidance and </w:t>
      </w:r>
      <w:r w:rsidR="000352B3">
        <w:rPr>
          <w:lang w:val="en-US"/>
        </w:rPr>
        <w:t xml:space="preserve">policy </w:t>
      </w:r>
      <w:r w:rsidR="00F2098C" w:rsidRPr="00CA6939">
        <w:rPr>
          <w:lang w:val="en-US"/>
        </w:rPr>
        <w:t xml:space="preserve">recommendations for the governing and successful implementation of related initiatives. More detailed view on these data is </w:t>
      </w:r>
      <w:r w:rsidR="00D175A0" w:rsidRPr="00CA6939">
        <w:rPr>
          <w:lang w:val="en-US"/>
        </w:rPr>
        <w:t xml:space="preserve">then </w:t>
      </w:r>
      <w:r w:rsidR="00F2098C" w:rsidRPr="00CA6939">
        <w:rPr>
          <w:lang w:val="en-US"/>
        </w:rPr>
        <w:t>given in Table 5.</w:t>
      </w:r>
      <w:r w:rsidR="00D33E63" w:rsidRPr="00CA6939">
        <w:rPr>
          <w:lang w:val="en-US"/>
        </w:rPr>
        <w:t xml:space="preserve"> It is focused on the </w:t>
      </w:r>
      <w:r w:rsidR="00F2098C" w:rsidRPr="00CA6939">
        <w:rPr>
          <w:lang w:val="en-US"/>
        </w:rPr>
        <w:t>relationship between the change</w:t>
      </w:r>
      <w:r w:rsidR="00D33E63" w:rsidRPr="00CA6939">
        <w:rPr>
          <w:lang w:val="en-US"/>
        </w:rPr>
        <w:t>s</w:t>
      </w:r>
      <w:r w:rsidR="00F2098C" w:rsidRPr="00CA6939">
        <w:rPr>
          <w:lang w:val="en-US"/>
        </w:rPr>
        <w:t xml:space="preserve"> in open data and corruption</w:t>
      </w:r>
      <w:r w:rsidR="00D33E63" w:rsidRPr="00CA6939">
        <w:rPr>
          <w:lang w:val="en-US"/>
        </w:rPr>
        <w:t xml:space="preserve"> </w:t>
      </w:r>
      <w:r w:rsidR="00D175A0" w:rsidRPr="00CA6939">
        <w:rPr>
          <w:lang w:val="en-US"/>
        </w:rPr>
        <w:t>in the period of 2013 and</w:t>
      </w:r>
      <w:r w:rsidR="00D33E63" w:rsidRPr="00CA6939">
        <w:rPr>
          <w:lang w:val="en-US"/>
        </w:rPr>
        <w:t xml:space="preserve"> 2015.</w:t>
      </w:r>
      <w:r w:rsidR="00D175A0" w:rsidRPr="00CA6939">
        <w:rPr>
          <w:lang w:val="en-US"/>
        </w:rPr>
        <w:t xml:space="preserve"> </w:t>
      </w:r>
      <w:r w:rsidR="008A2F9D" w:rsidRPr="008A2F9D">
        <w:rPr>
          <w:lang w:val="en-US"/>
        </w:rPr>
        <w:t xml:space="preserve">The countries are ordered according to </w:t>
      </w:r>
      <w:r w:rsidR="000352B3">
        <w:rPr>
          <w:lang w:val="en-US"/>
        </w:rPr>
        <w:t xml:space="preserve">their ranking in 2015 for each index. </w:t>
      </w:r>
      <w:r w:rsidR="00D175A0" w:rsidRPr="00CA6939">
        <w:rPr>
          <w:lang w:val="en-US"/>
        </w:rPr>
        <w:t>In the case of the GODI, the change is negative due to the new methodology behind this index.</w:t>
      </w:r>
      <w:r w:rsidR="00E12734" w:rsidRPr="00CA6939">
        <w:rPr>
          <w:lang w:val="en-US"/>
        </w:rPr>
        <w:t xml:space="preserve"> A </w:t>
      </w:r>
      <w:r w:rsidR="0075356A" w:rsidRPr="00CA6939">
        <w:rPr>
          <w:lang w:val="en-US"/>
        </w:rPr>
        <w:t>level of data openness represented by the ODBI has increased in this period by 12.6%.</w:t>
      </w:r>
      <w:r w:rsidR="00E12734" w:rsidRPr="00CA6939">
        <w:rPr>
          <w:lang w:val="en-US"/>
        </w:rPr>
        <w:t xml:space="preserve"> T</w:t>
      </w:r>
      <w:r w:rsidR="0075356A" w:rsidRPr="00CA6939">
        <w:rPr>
          <w:lang w:val="en-US"/>
        </w:rPr>
        <w:t xml:space="preserve">he CPI and CCI have </w:t>
      </w:r>
      <w:r w:rsidR="00E12734" w:rsidRPr="00CA6939">
        <w:rPr>
          <w:lang w:val="en-US"/>
        </w:rPr>
        <w:t xml:space="preserve">also </w:t>
      </w:r>
      <w:r w:rsidR="0075356A" w:rsidRPr="00CA6939">
        <w:rPr>
          <w:lang w:val="en-US"/>
        </w:rPr>
        <w:t>reported an increase in the mean value</w:t>
      </w:r>
      <w:r w:rsidR="00E12734" w:rsidRPr="00CA6939">
        <w:rPr>
          <w:lang w:val="en-US"/>
        </w:rPr>
        <w:t>, i.e., that the anti-corruption activities</w:t>
      </w:r>
      <w:r w:rsidR="0075356A" w:rsidRPr="00CA6939">
        <w:rPr>
          <w:lang w:val="en-US"/>
        </w:rPr>
        <w:t xml:space="preserve"> </w:t>
      </w:r>
      <w:r w:rsidR="00E12734" w:rsidRPr="00CA6939">
        <w:rPr>
          <w:lang w:val="en-US"/>
        </w:rPr>
        <w:t>are supported by more countries than in 2013.</w:t>
      </w:r>
      <w:r w:rsidR="0000748D" w:rsidRPr="00CA6939">
        <w:rPr>
          <w:lang w:val="en-US"/>
        </w:rPr>
        <w:t xml:space="preserve"> Another finding is that the changes observed in the best performing countries </w:t>
      </w:r>
      <w:r w:rsidR="00072795" w:rsidRPr="00CA6939">
        <w:rPr>
          <w:lang w:val="en-US"/>
        </w:rPr>
        <w:t xml:space="preserve">are </w:t>
      </w:r>
      <w:r w:rsidR="0000748D" w:rsidRPr="00CA6939">
        <w:rPr>
          <w:lang w:val="en-US"/>
        </w:rPr>
        <w:t>generally similar across the CPI and CCI</w:t>
      </w:r>
      <w:r w:rsidR="00072795" w:rsidRPr="00CA6939">
        <w:rPr>
          <w:lang w:val="en-US"/>
        </w:rPr>
        <w:t xml:space="preserve"> while the results for the GODI and ODBI are different, reflecting various approaches in opening up government data.</w:t>
      </w:r>
      <w:r w:rsidR="000352B3">
        <w:rPr>
          <w:lang w:val="en-US"/>
        </w:rPr>
        <w:t xml:space="preserve"> </w:t>
      </w:r>
    </w:p>
    <w:p w:rsidR="00F2098C" w:rsidRPr="00CA6939" w:rsidRDefault="000352B3" w:rsidP="00D33E63">
      <w:pPr>
        <w:rPr>
          <w:lang w:val="en-US"/>
        </w:rPr>
      </w:pPr>
      <w:r>
        <w:rPr>
          <w:lang w:val="en-US"/>
        </w:rPr>
        <w:t>Further</w:t>
      </w:r>
      <w:r w:rsidR="004114E9">
        <w:rPr>
          <w:lang w:val="en-US"/>
        </w:rPr>
        <w:t>more</w:t>
      </w:r>
      <w:r>
        <w:rPr>
          <w:lang w:val="en-US"/>
        </w:rPr>
        <w:t xml:space="preserve">, </w:t>
      </w:r>
      <w:r w:rsidR="00503208">
        <w:rPr>
          <w:lang w:val="en-US"/>
        </w:rPr>
        <w:t>as this empirical</w:t>
      </w:r>
      <w:r>
        <w:rPr>
          <w:lang w:val="en-US"/>
        </w:rPr>
        <w:t xml:space="preserve"> relationship is confirmed</w:t>
      </w:r>
      <w:r w:rsidR="00503208">
        <w:rPr>
          <w:lang w:val="en-US"/>
        </w:rPr>
        <w:t xml:space="preserve">, a deeper analysis of </w:t>
      </w:r>
      <w:r w:rsidR="00503208" w:rsidRPr="00CA6939">
        <w:rPr>
          <w:lang w:val="en-US"/>
        </w:rPr>
        <w:t>the Open Government and open data movement</w:t>
      </w:r>
      <w:r w:rsidR="00503208">
        <w:rPr>
          <w:lang w:val="en-US"/>
        </w:rPr>
        <w:t xml:space="preserve"> should follow. Some of the recent studies</w:t>
      </w:r>
      <w:r w:rsidR="00503208" w:rsidRPr="00503208">
        <w:t xml:space="preserve"> </w:t>
      </w:r>
      <w:r w:rsidR="00503208" w:rsidRPr="00503208">
        <w:rPr>
          <w:lang w:val="en-US"/>
        </w:rPr>
        <w:t>suggest that the</w:t>
      </w:r>
      <w:r w:rsidR="00503208">
        <w:rPr>
          <w:lang w:val="en-US"/>
        </w:rPr>
        <w:t xml:space="preserve"> availability of open data is </w:t>
      </w:r>
      <w:r w:rsidR="00503208" w:rsidRPr="00503208">
        <w:rPr>
          <w:lang w:val="en-US"/>
        </w:rPr>
        <w:t>increased by implementation of</w:t>
      </w:r>
      <w:r w:rsidR="00503208">
        <w:rPr>
          <w:lang w:val="en-US"/>
        </w:rPr>
        <w:t xml:space="preserve"> an open data portal </w:t>
      </w:r>
      <w:r w:rsidR="00503208">
        <w:rPr>
          <w:lang w:val="en-US"/>
        </w:rPr>
        <w:fldChar w:fldCharType="begin"/>
      </w:r>
      <w:r w:rsidR="00503208">
        <w:rPr>
          <w:lang w:val="en-US"/>
        </w:rPr>
        <w:instrText xml:space="preserve"> REF _Ref465778578 \r \h </w:instrText>
      </w:r>
      <w:r w:rsidR="00503208">
        <w:rPr>
          <w:lang w:val="en-US"/>
        </w:rPr>
      </w:r>
      <w:r w:rsidR="00503208">
        <w:rPr>
          <w:lang w:val="en-US"/>
        </w:rPr>
        <w:fldChar w:fldCharType="separate"/>
      </w:r>
      <w:r w:rsidR="00503208">
        <w:rPr>
          <w:lang w:val="en-US"/>
        </w:rPr>
        <w:t>[8]</w:t>
      </w:r>
      <w:r w:rsidR="00503208">
        <w:rPr>
          <w:lang w:val="en-US"/>
        </w:rPr>
        <w:fldChar w:fldCharType="end"/>
      </w:r>
      <w:r w:rsidR="00503208">
        <w:rPr>
          <w:lang w:val="en-US"/>
        </w:rPr>
        <w:t>.</w:t>
      </w:r>
      <w:r w:rsidR="004114E9">
        <w:rPr>
          <w:lang w:val="en-US"/>
        </w:rPr>
        <w:t xml:space="preserve"> It is </w:t>
      </w:r>
      <w:r w:rsidR="004114E9" w:rsidRPr="004114E9">
        <w:rPr>
          <w:lang w:val="en-US"/>
        </w:rPr>
        <w:t>a web-based system where a</w:t>
      </w:r>
      <w:r w:rsidR="004114E9">
        <w:rPr>
          <w:lang w:val="en-US"/>
        </w:rPr>
        <w:t>n</w:t>
      </w:r>
      <w:r w:rsidR="004114E9" w:rsidRPr="004114E9">
        <w:rPr>
          <w:lang w:val="en-US"/>
        </w:rPr>
        <w:t xml:space="preserve"> interface allows datasets to be uploaded and equipped with high-quality metadata</w:t>
      </w:r>
      <w:r w:rsidR="004114E9">
        <w:rPr>
          <w:lang w:val="en-US"/>
        </w:rPr>
        <w:t xml:space="preserve"> searchable through defined categories, tags or vocabularies.</w:t>
      </w:r>
    </w:p>
    <w:p w:rsidR="00F2098C" w:rsidRPr="00CA6939" w:rsidRDefault="00F2098C" w:rsidP="00F2098C">
      <w:pPr>
        <w:rPr>
          <w:lang w:val="en-US"/>
        </w:rPr>
      </w:pPr>
    </w:p>
    <w:p w:rsidR="00F2098C" w:rsidRPr="00CA6939" w:rsidRDefault="00F2098C" w:rsidP="00D175A0">
      <w:pPr>
        <w:pStyle w:val="Els-caption"/>
        <w:keepNext/>
        <w:spacing w:before="120" w:after="120"/>
        <w:jc w:val="center"/>
        <w:rPr>
          <w:rFonts w:ascii="Cambria" w:hAnsi="Cambria"/>
          <w:b/>
          <w:sz w:val="18"/>
        </w:rPr>
      </w:pPr>
      <w:r w:rsidRPr="00CA6939">
        <w:rPr>
          <w:rFonts w:ascii="Cambria" w:hAnsi="Cambria"/>
          <w:b/>
          <w:sz w:val="18"/>
        </w:rPr>
        <w:t>Table 5. List of best performing countries focusing on the change</w:t>
      </w:r>
      <w:r w:rsidR="00D33E63" w:rsidRPr="00CA6939">
        <w:rPr>
          <w:rFonts w:ascii="Cambria" w:hAnsi="Cambria"/>
          <w:b/>
          <w:sz w:val="18"/>
        </w:rPr>
        <w:t>s</w:t>
      </w:r>
      <w:r w:rsidRPr="00CA6939">
        <w:rPr>
          <w:rFonts w:ascii="Cambria" w:hAnsi="Cambria"/>
          <w:b/>
          <w:sz w:val="18"/>
        </w:rPr>
        <w:t xml:space="preserve"> between variables (Source: Author)</w:t>
      </w:r>
    </w:p>
    <w:tbl>
      <w:tblPr>
        <w:tblW w:w="8957" w:type="dxa"/>
        <w:jc w:val="center"/>
        <w:tblLayout w:type="fixed"/>
        <w:tblLook w:val="01E0" w:firstRow="1" w:lastRow="1" w:firstColumn="1" w:lastColumn="1" w:noHBand="0" w:noVBand="0"/>
      </w:tblPr>
      <w:tblGrid>
        <w:gridCol w:w="964"/>
        <w:gridCol w:w="850"/>
        <w:gridCol w:w="1134"/>
        <w:gridCol w:w="907"/>
        <w:gridCol w:w="1134"/>
        <w:gridCol w:w="850"/>
        <w:gridCol w:w="1134"/>
        <w:gridCol w:w="850"/>
        <w:gridCol w:w="1134"/>
      </w:tblGrid>
      <w:tr w:rsidR="00270395" w:rsidRPr="00CA6939" w:rsidTr="00F171A8">
        <w:trPr>
          <w:trHeight w:val="132"/>
          <w:jc w:val="center"/>
        </w:trPr>
        <w:tc>
          <w:tcPr>
            <w:tcW w:w="964" w:type="dxa"/>
            <w:vMerge w:val="restart"/>
            <w:tcBorders>
              <w:top w:val="single" w:sz="4" w:space="0" w:color="auto"/>
            </w:tcBorders>
            <w:shd w:val="clear" w:color="auto" w:fill="D9D9D9"/>
            <w:vAlign w:val="center"/>
          </w:tcPr>
          <w:p w:rsidR="00270395" w:rsidRPr="00CA6939" w:rsidRDefault="00270395" w:rsidP="00F171A8">
            <w:pPr>
              <w:pStyle w:val="Els-table-text"/>
              <w:keepNext/>
              <w:spacing w:before="60" w:after="60" w:line="240" w:lineRule="auto"/>
              <w:rPr>
                <w:rFonts w:ascii="Cambria" w:hAnsi="Cambria"/>
                <w:b/>
                <w:sz w:val="18"/>
                <w:szCs w:val="18"/>
              </w:rPr>
            </w:pPr>
            <w:r w:rsidRPr="00CA6939">
              <w:rPr>
                <w:rFonts w:ascii="Cambria" w:hAnsi="Cambria"/>
                <w:b/>
                <w:sz w:val="18"/>
                <w:szCs w:val="18"/>
              </w:rPr>
              <w:t>Rank</w:t>
            </w:r>
          </w:p>
        </w:tc>
        <w:tc>
          <w:tcPr>
            <w:tcW w:w="1984" w:type="dxa"/>
            <w:gridSpan w:val="2"/>
            <w:tcBorders>
              <w:top w:val="single" w:sz="4" w:space="0" w:color="auto"/>
            </w:tcBorders>
            <w:shd w:val="clear" w:color="auto" w:fill="D9D9D9"/>
            <w:vAlign w:val="center"/>
          </w:tcPr>
          <w:p w:rsidR="00270395" w:rsidRPr="00CA6939" w:rsidRDefault="00270395" w:rsidP="00F171A8">
            <w:pPr>
              <w:pStyle w:val="Els-table-text"/>
              <w:keepNext/>
              <w:spacing w:before="60" w:after="60" w:line="240" w:lineRule="auto"/>
              <w:rPr>
                <w:rFonts w:ascii="Cambria" w:hAnsi="Cambria"/>
                <w:b/>
                <w:sz w:val="18"/>
                <w:szCs w:val="18"/>
              </w:rPr>
            </w:pPr>
            <w:r w:rsidRPr="00CA6939">
              <w:rPr>
                <w:rFonts w:ascii="Cambria" w:hAnsi="Cambria"/>
                <w:b/>
                <w:sz w:val="18"/>
                <w:szCs w:val="18"/>
              </w:rPr>
              <w:t>GODI</w:t>
            </w:r>
          </w:p>
        </w:tc>
        <w:tc>
          <w:tcPr>
            <w:tcW w:w="2041" w:type="dxa"/>
            <w:gridSpan w:val="2"/>
            <w:tcBorders>
              <w:top w:val="single" w:sz="4" w:space="0" w:color="auto"/>
            </w:tcBorders>
            <w:shd w:val="clear" w:color="auto" w:fill="D9D9D9"/>
            <w:vAlign w:val="center"/>
          </w:tcPr>
          <w:p w:rsidR="00270395" w:rsidRPr="00CA6939" w:rsidRDefault="00270395" w:rsidP="00F171A8">
            <w:pPr>
              <w:pStyle w:val="Els-table-text"/>
              <w:keepNext/>
              <w:spacing w:before="60" w:after="60" w:line="240" w:lineRule="auto"/>
              <w:rPr>
                <w:rFonts w:ascii="Cambria" w:hAnsi="Cambria"/>
                <w:b/>
                <w:sz w:val="18"/>
                <w:szCs w:val="18"/>
              </w:rPr>
            </w:pPr>
            <w:r w:rsidRPr="00CA6939">
              <w:rPr>
                <w:rFonts w:ascii="Cambria" w:hAnsi="Cambria"/>
                <w:b/>
                <w:sz w:val="18"/>
                <w:szCs w:val="18"/>
              </w:rPr>
              <w:t>ODBI</w:t>
            </w:r>
          </w:p>
        </w:tc>
        <w:tc>
          <w:tcPr>
            <w:tcW w:w="1984" w:type="dxa"/>
            <w:gridSpan w:val="2"/>
            <w:tcBorders>
              <w:top w:val="single" w:sz="4" w:space="0" w:color="auto"/>
            </w:tcBorders>
            <w:shd w:val="clear" w:color="auto" w:fill="D9D9D9"/>
            <w:vAlign w:val="center"/>
          </w:tcPr>
          <w:p w:rsidR="00270395" w:rsidRPr="00CA6939" w:rsidRDefault="00270395" w:rsidP="00F171A8">
            <w:pPr>
              <w:pStyle w:val="Els-table-text"/>
              <w:keepNext/>
              <w:spacing w:before="60" w:after="60" w:line="240" w:lineRule="auto"/>
              <w:rPr>
                <w:rFonts w:ascii="Cambria" w:hAnsi="Cambria"/>
                <w:b/>
                <w:sz w:val="18"/>
                <w:szCs w:val="18"/>
              </w:rPr>
            </w:pPr>
            <w:r w:rsidRPr="00CA6939">
              <w:rPr>
                <w:rFonts w:ascii="Cambria" w:hAnsi="Cambria"/>
                <w:b/>
                <w:sz w:val="18"/>
                <w:szCs w:val="18"/>
              </w:rPr>
              <w:t>CPI</w:t>
            </w:r>
          </w:p>
        </w:tc>
        <w:tc>
          <w:tcPr>
            <w:tcW w:w="1984" w:type="dxa"/>
            <w:gridSpan w:val="2"/>
            <w:tcBorders>
              <w:top w:val="single" w:sz="4" w:space="0" w:color="auto"/>
            </w:tcBorders>
            <w:shd w:val="clear" w:color="auto" w:fill="D9D9D9"/>
            <w:vAlign w:val="center"/>
          </w:tcPr>
          <w:p w:rsidR="00270395" w:rsidRPr="00CA6939" w:rsidRDefault="00270395" w:rsidP="00F171A8">
            <w:pPr>
              <w:pStyle w:val="Els-table-text"/>
              <w:keepNext/>
              <w:spacing w:before="60" w:after="60" w:line="240" w:lineRule="auto"/>
              <w:rPr>
                <w:rFonts w:ascii="Cambria" w:hAnsi="Cambria"/>
                <w:b/>
                <w:sz w:val="18"/>
                <w:szCs w:val="18"/>
              </w:rPr>
            </w:pPr>
            <w:r w:rsidRPr="00CA6939">
              <w:rPr>
                <w:rFonts w:ascii="Cambria" w:hAnsi="Cambria"/>
                <w:b/>
                <w:sz w:val="18"/>
                <w:szCs w:val="18"/>
              </w:rPr>
              <w:t>CCI</w:t>
            </w:r>
          </w:p>
        </w:tc>
      </w:tr>
      <w:tr w:rsidR="00270395" w:rsidRPr="00CA6939" w:rsidTr="00F171A8">
        <w:trPr>
          <w:trHeight w:val="132"/>
          <w:jc w:val="center"/>
        </w:trPr>
        <w:tc>
          <w:tcPr>
            <w:tcW w:w="964" w:type="dxa"/>
            <w:vMerge/>
            <w:tcBorders>
              <w:bottom w:val="single" w:sz="4" w:space="0" w:color="auto"/>
            </w:tcBorders>
            <w:shd w:val="clear" w:color="auto" w:fill="D9D9D9"/>
            <w:vAlign w:val="center"/>
          </w:tcPr>
          <w:p w:rsidR="00270395" w:rsidRPr="00CA6939" w:rsidRDefault="00270395" w:rsidP="00F171A8">
            <w:pPr>
              <w:pStyle w:val="Els-table-text"/>
              <w:keepNext/>
              <w:spacing w:before="60" w:after="60" w:line="240" w:lineRule="auto"/>
              <w:rPr>
                <w:rFonts w:ascii="Cambria" w:hAnsi="Cambria"/>
                <w:b/>
                <w:sz w:val="18"/>
                <w:szCs w:val="18"/>
              </w:rPr>
            </w:pPr>
          </w:p>
        </w:tc>
        <w:tc>
          <w:tcPr>
            <w:tcW w:w="850" w:type="dxa"/>
            <w:tcBorders>
              <w:bottom w:val="single" w:sz="4" w:space="0" w:color="auto"/>
            </w:tcBorders>
            <w:shd w:val="clear" w:color="auto" w:fill="D9D9D9"/>
            <w:vAlign w:val="center"/>
          </w:tcPr>
          <w:p w:rsidR="00270395" w:rsidRPr="00CA6939" w:rsidRDefault="00270395" w:rsidP="00F171A8">
            <w:pPr>
              <w:pStyle w:val="Els-table-text"/>
              <w:keepNext/>
              <w:spacing w:before="60" w:after="60" w:line="240" w:lineRule="auto"/>
              <w:rPr>
                <w:rFonts w:ascii="Cambria" w:hAnsi="Cambria"/>
                <w:b/>
                <w:sz w:val="18"/>
                <w:szCs w:val="18"/>
              </w:rPr>
            </w:pPr>
            <w:r w:rsidRPr="00CA6939">
              <w:rPr>
                <w:rFonts w:ascii="Cambria" w:hAnsi="Cambria"/>
                <w:b/>
                <w:sz w:val="18"/>
                <w:szCs w:val="18"/>
              </w:rPr>
              <w:t>2015</w:t>
            </w:r>
          </w:p>
        </w:tc>
        <w:tc>
          <w:tcPr>
            <w:tcW w:w="1134" w:type="dxa"/>
            <w:tcBorders>
              <w:bottom w:val="single" w:sz="4" w:space="0" w:color="auto"/>
            </w:tcBorders>
            <w:shd w:val="clear" w:color="auto" w:fill="D9D9D9"/>
            <w:vAlign w:val="center"/>
          </w:tcPr>
          <w:p w:rsidR="00270395" w:rsidRPr="00CA6939" w:rsidRDefault="00270395" w:rsidP="00F171A8">
            <w:pPr>
              <w:pStyle w:val="Els-table-text"/>
              <w:keepNext/>
              <w:spacing w:before="60" w:after="60" w:line="240" w:lineRule="auto"/>
              <w:rPr>
                <w:rFonts w:ascii="Cambria" w:hAnsi="Cambria"/>
                <w:b/>
                <w:sz w:val="18"/>
                <w:szCs w:val="18"/>
              </w:rPr>
            </w:pPr>
            <w:r w:rsidRPr="00CA6939">
              <w:rPr>
                <w:rFonts w:ascii="Cambria" w:hAnsi="Cambria"/>
                <w:b/>
                <w:sz w:val="18"/>
                <w:szCs w:val="18"/>
              </w:rPr>
              <w:t>Change 13-15 [%]</w:t>
            </w:r>
          </w:p>
        </w:tc>
        <w:tc>
          <w:tcPr>
            <w:tcW w:w="907" w:type="dxa"/>
            <w:tcBorders>
              <w:bottom w:val="single" w:sz="4" w:space="0" w:color="auto"/>
            </w:tcBorders>
            <w:shd w:val="clear" w:color="auto" w:fill="D9D9D9"/>
            <w:vAlign w:val="center"/>
          </w:tcPr>
          <w:p w:rsidR="00270395" w:rsidRPr="00CA6939" w:rsidRDefault="00270395" w:rsidP="00F171A8">
            <w:pPr>
              <w:pStyle w:val="Els-table-text"/>
              <w:keepNext/>
              <w:spacing w:before="60" w:after="60" w:line="240" w:lineRule="auto"/>
              <w:rPr>
                <w:rFonts w:ascii="Cambria" w:hAnsi="Cambria"/>
                <w:b/>
                <w:sz w:val="18"/>
                <w:szCs w:val="18"/>
              </w:rPr>
            </w:pPr>
            <w:r w:rsidRPr="00CA6939">
              <w:rPr>
                <w:rFonts w:ascii="Cambria" w:hAnsi="Cambria"/>
                <w:b/>
                <w:sz w:val="18"/>
                <w:szCs w:val="18"/>
              </w:rPr>
              <w:t>2015</w:t>
            </w:r>
          </w:p>
        </w:tc>
        <w:tc>
          <w:tcPr>
            <w:tcW w:w="1134" w:type="dxa"/>
            <w:tcBorders>
              <w:bottom w:val="single" w:sz="4" w:space="0" w:color="auto"/>
            </w:tcBorders>
            <w:shd w:val="clear" w:color="auto" w:fill="D9D9D9"/>
            <w:vAlign w:val="center"/>
          </w:tcPr>
          <w:p w:rsidR="00270395" w:rsidRPr="00CA6939" w:rsidRDefault="00270395" w:rsidP="00F171A8">
            <w:pPr>
              <w:pStyle w:val="Els-table-text"/>
              <w:keepNext/>
              <w:spacing w:before="60" w:after="60" w:line="240" w:lineRule="auto"/>
              <w:rPr>
                <w:rFonts w:ascii="Cambria" w:hAnsi="Cambria"/>
                <w:b/>
                <w:sz w:val="18"/>
                <w:szCs w:val="18"/>
              </w:rPr>
            </w:pPr>
            <w:r w:rsidRPr="00CA6939">
              <w:rPr>
                <w:rFonts w:ascii="Cambria" w:hAnsi="Cambria"/>
                <w:b/>
                <w:sz w:val="18"/>
                <w:szCs w:val="18"/>
              </w:rPr>
              <w:t>Change 13-15 [%]</w:t>
            </w:r>
          </w:p>
        </w:tc>
        <w:tc>
          <w:tcPr>
            <w:tcW w:w="850" w:type="dxa"/>
            <w:tcBorders>
              <w:bottom w:val="single" w:sz="4" w:space="0" w:color="auto"/>
            </w:tcBorders>
            <w:shd w:val="clear" w:color="auto" w:fill="D9D9D9"/>
            <w:vAlign w:val="center"/>
          </w:tcPr>
          <w:p w:rsidR="00270395" w:rsidRPr="00CA6939" w:rsidRDefault="00270395" w:rsidP="00F171A8">
            <w:pPr>
              <w:pStyle w:val="Els-table-text"/>
              <w:keepNext/>
              <w:spacing w:before="60" w:after="60" w:line="240" w:lineRule="auto"/>
              <w:rPr>
                <w:rFonts w:ascii="Cambria" w:hAnsi="Cambria"/>
                <w:b/>
                <w:sz w:val="18"/>
                <w:szCs w:val="18"/>
              </w:rPr>
            </w:pPr>
            <w:r w:rsidRPr="00CA6939">
              <w:rPr>
                <w:rFonts w:ascii="Cambria" w:hAnsi="Cambria"/>
                <w:b/>
                <w:sz w:val="18"/>
                <w:szCs w:val="18"/>
              </w:rPr>
              <w:t>2015</w:t>
            </w:r>
          </w:p>
        </w:tc>
        <w:tc>
          <w:tcPr>
            <w:tcW w:w="1134" w:type="dxa"/>
            <w:tcBorders>
              <w:bottom w:val="single" w:sz="4" w:space="0" w:color="auto"/>
            </w:tcBorders>
            <w:shd w:val="clear" w:color="auto" w:fill="D9D9D9"/>
            <w:vAlign w:val="center"/>
          </w:tcPr>
          <w:p w:rsidR="00270395" w:rsidRPr="00CA6939" w:rsidRDefault="00270395" w:rsidP="00F171A8">
            <w:pPr>
              <w:pStyle w:val="Els-table-text"/>
              <w:keepNext/>
              <w:spacing w:before="60" w:after="60" w:line="240" w:lineRule="auto"/>
              <w:rPr>
                <w:rFonts w:ascii="Cambria" w:hAnsi="Cambria"/>
                <w:b/>
                <w:sz w:val="18"/>
                <w:szCs w:val="18"/>
              </w:rPr>
            </w:pPr>
            <w:r w:rsidRPr="00CA6939">
              <w:rPr>
                <w:rFonts w:ascii="Cambria" w:hAnsi="Cambria"/>
                <w:b/>
                <w:sz w:val="18"/>
                <w:szCs w:val="18"/>
              </w:rPr>
              <w:t>Change 13-15 [%]</w:t>
            </w:r>
          </w:p>
        </w:tc>
        <w:tc>
          <w:tcPr>
            <w:tcW w:w="850" w:type="dxa"/>
            <w:tcBorders>
              <w:bottom w:val="single" w:sz="4" w:space="0" w:color="auto"/>
            </w:tcBorders>
            <w:shd w:val="clear" w:color="auto" w:fill="D9D9D9"/>
            <w:vAlign w:val="center"/>
          </w:tcPr>
          <w:p w:rsidR="00270395" w:rsidRPr="00CA6939" w:rsidRDefault="00270395" w:rsidP="00F171A8">
            <w:pPr>
              <w:pStyle w:val="Els-table-text"/>
              <w:keepNext/>
              <w:spacing w:before="60" w:after="60" w:line="240" w:lineRule="auto"/>
              <w:rPr>
                <w:rFonts w:ascii="Cambria" w:hAnsi="Cambria"/>
                <w:b/>
                <w:sz w:val="18"/>
                <w:szCs w:val="18"/>
              </w:rPr>
            </w:pPr>
            <w:r w:rsidRPr="00CA6939">
              <w:rPr>
                <w:rFonts w:ascii="Cambria" w:hAnsi="Cambria"/>
                <w:b/>
                <w:sz w:val="18"/>
                <w:szCs w:val="18"/>
              </w:rPr>
              <w:t>2015</w:t>
            </w:r>
          </w:p>
        </w:tc>
        <w:tc>
          <w:tcPr>
            <w:tcW w:w="1134" w:type="dxa"/>
            <w:tcBorders>
              <w:bottom w:val="single" w:sz="4" w:space="0" w:color="auto"/>
            </w:tcBorders>
            <w:shd w:val="clear" w:color="auto" w:fill="D9D9D9"/>
            <w:vAlign w:val="center"/>
          </w:tcPr>
          <w:p w:rsidR="00270395" w:rsidRPr="00CA6939" w:rsidRDefault="00270395" w:rsidP="00F171A8">
            <w:pPr>
              <w:pStyle w:val="Els-table-text"/>
              <w:keepNext/>
              <w:spacing w:before="60" w:after="60" w:line="240" w:lineRule="auto"/>
              <w:rPr>
                <w:rFonts w:ascii="Cambria" w:hAnsi="Cambria"/>
                <w:b/>
                <w:sz w:val="18"/>
                <w:szCs w:val="18"/>
              </w:rPr>
            </w:pPr>
            <w:r w:rsidRPr="00CA6939">
              <w:rPr>
                <w:rFonts w:ascii="Cambria" w:hAnsi="Cambria"/>
                <w:b/>
                <w:sz w:val="18"/>
                <w:szCs w:val="18"/>
              </w:rPr>
              <w:t>Change 13-15 [%]</w:t>
            </w:r>
          </w:p>
        </w:tc>
      </w:tr>
      <w:tr w:rsidR="00F171A8" w:rsidRPr="00CA6939" w:rsidTr="00F171A8">
        <w:trPr>
          <w:trHeight w:val="126"/>
          <w:jc w:val="center"/>
        </w:trPr>
        <w:tc>
          <w:tcPr>
            <w:tcW w:w="964" w:type="dxa"/>
            <w:tcBorders>
              <w:top w:val="single" w:sz="4" w:space="0" w:color="auto"/>
            </w:tcBorders>
            <w:vAlign w:val="center"/>
          </w:tcPr>
          <w:p w:rsidR="00F171A8" w:rsidRPr="00CA6939" w:rsidRDefault="00F171A8" w:rsidP="00F171A8">
            <w:pPr>
              <w:pStyle w:val="Els-table-text"/>
              <w:keepNext/>
              <w:spacing w:before="60" w:after="60" w:line="240" w:lineRule="auto"/>
              <w:rPr>
                <w:rFonts w:ascii="Cambria" w:hAnsi="Cambria"/>
                <w:sz w:val="18"/>
                <w:szCs w:val="18"/>
              </w:rPr>
            </w:pPr>
            <w:r w:rsidRPr="00CA6939">
              <w:rPr>
                <w:rFonts w:ascii="Cambria" w:hAnsi="Cambria"/>
                <w:sz w:val="18"/>
                <w:szCs w:val="18"/>
              </w:rPr>
              <w:t>1</w:t>
            </w:r>
          </w:p>
        </w:tc>
        <w:tc>
          <w:tcPr>
            <w:tcW w:w="850" w:type="dxa"/>
            <w:tcBorders>
              <w:top w:val="single" w:sz="4" w:space="0" w:color="auto"/>
            </w:tcBorders>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TW</w:t>
            </w:r>
          </w:p>
        </w:tc>
        <w:tc>
          <w:tcPr>
            <w:tcW w:w="1134" w:type="dxa"/>
            <w:tcBorders>
              <w:top w:val="single" w:sz="4" w:space="0" w:color="auto"/>
            </w:tcBorders>
            <w:vAlign w:val="center"/>
          </w:tcPr>
          <w:p w:rsidR="00F171A8" w:rsidRPr="00CA6939" w:rsidRDefault="00F171A8" w:rsidP="00F171A8">
            <w:pPr>
              <w:spacing w:before="60" w:after="60"/>
              <w:ind w:firstLine="0"/>
              <w:jc w:val="left"/>
              <w:rPr>
                <w:color w:val="000000"/>
                <w:sz w:val="18"/>
                <w:szCs w:val="22"/>
                <w:lang w:val="en-US"/>
              </w:rPr>
            </w:pPr>
            <w:r w:rsidRPr="00CA6939">
              <w:rPr>
                <w:color w:val="000000"/>
                <w:sz w:val="18"/>
                <w:szCs w:val="22"/>
                <w:lang w:val="en-US"/>
              </w:rPr>
              <w:t>85.7</w:t>
            </w:r>
          </w:p>
        </w:tc>
        <w:tc>
          <w:tcPr>
            <w:tcW w:w="907" w:type="dxa"/>
            <w:tcBorders>
              <w:top w:val="single" w:sz="4" w:space="0" w:color="auto"/>
            </w:tcBorders>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UK</w:t>
            </w:r>
          </w:p>
        </w:tc>
        <w:tc>
          <w:tcPr>
            <w:tcW w:w="1134" w:type="dxa"/>
            <w:tcBorders>
              <w:top w:val="single" w:sz="4" w:space="0" w:color="auto"/>
            </w:tcBorders>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0.0</w:t>
            </w:r>
          </w:p>
        </w:tc>
        <w:tc>
          <w:tcPr>
            <w:tcW w:w="850" w:type="dxa"/>
            <w:tcBorders>
              <w:top w:val="single" w:sz="4" w:space="0" w:color="auto"/>
            </w:tcBorders>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DK</w:t>
            </w:r>
          </w:p>
        </w:tc>
        <w:tc>
          <w:tcPr>
            <w:tcW w:w="1134" w:type="dxa"/>
            <w:tcBorders>
              <w:top w:val="single" w:sz="4" w:space="0" w:color="auto"/>
            </w:tcBorders>
            <w:vAlign w:val="center"/>
          </w:tcPr>
          <w:p w:rsidR="00F171A8" w:rsidRPr="00CA6939" w:rsidRDefault="00F171A8" w:rsidP="00F171A8">
            <w:pPr>
              <w:spacing w:before="60" w:after="60"/>
              <w:ind w:firstLine="0"/>
              <w:jc w:val="left"/>
              <w:rPr>
                <w:color w:val="000000"/>
                <w:sz w:val="18"/>
                <w:szCs w:val="22"/>
                <w:lang w:val="en-US"/>
              </w:rPr>
            </w:pPr>
            <w:r w:rsidRPr="00CA6939">
              <w:rPr>
                <w:color w:val="000000"/>
                <w:sz w:val="18"/>
                <w:szCs w:val="22"/>
                <w:lang w:val="en-US"/>
              </w:rPr>
              <w:t>0.0</w:t>
            </w:r>
          </w:p>
        </w:tc>
        <w:tc>
          <w:tcPr>
            <w:tcW w:w="850" w:type="dxa"/>
            <w:tcBorders>
              <w:top w:val="single" w:sz="4" w:space="0" w:color="auto"/>
            </w:tcBorders>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NZ</w:t>
            </w:r>
          </w:p>
        </w:tc>
        <w:tc>
          <w:tcPr>
            <w:tcW w:w="1134" w:type="dxa"/>
            <w:tcBorders>
              <w:top w:val="single" w:sz="4" w:space="0" w:color="auto"/>
            </w:tcBorders>
            <w:vAlign w:val="center"/>
          </w:tcPr>
          <w:p w:rsidR="00F171A8" w:rsidRPr="00CA6939" w:rsidRDefault="00F171A8" w:rsidP="00F171A8">
            <w:pPr>
              <w:spacing w:before="60" w:after="60"/>
              <w:ind w:firstLine="0"/>
              <w:jc w:val="left"/>
              <w:rPr>
                <w:color w:val="000000"/>
                <w:sz w:val="18"/>
                <w:szCs w:val="22"/>
                <w:lang w:val="en-US"/>
              </w:rPr>
            </w:pPr>
            <w:r w:rsidRPr="00CA6939">
              <w:rPr>
                <w:color w:val="000000"/>
                <w:sz w:val="18"/>
                <w:szCs w:val="22"/>
                <w:lang w:val="en-US"/>
              </w:rPr>
              <w:t>-2.2</w:t>
            </w:r>
          </w:p>
        </w:tc>
      </w:tr>
      <w:tr w:rsidR="00F171A8" w:rsidRPr="00CA6939" w:rsidTr="00F171A8">
        <w:trPr>
          <w:trHeight w:val="126"/>
          <w:jc w:val="center"/>
        </w:trPr>
        <w:tc>
          <w:tcPr>
            <w:tcW w:w="964" w:type="dxa"/>
            <w:vAlign w:val="center"/>
          </w:tcPr>
          <w:p w:rsidR="00F171A8" w:rsidRPr="00CA6939" w:rsidRDefault="00F171A8" w:rsidP="00F171A8">
            <w:pPr>
              <w:pStyle w:val="Els-table-text"/>
              <w:keepNext/>
              <w:spacing w:before="60" w:after="60" w:line="240" w:lineRule="auto"/>
              <w:rPr>
                <w:rFonts w:ascii="Cambria" w:hAnsi="Cambria"/>
                <w:sz w:val="18"/>
                <w:szCs w:val="18"/>
              </w:rPr>
            </w:pPr>
            <w:r w:rsidRPr="00CA6939">
              <w:rPr>
                <w:rFonts w:ascii="Cambria" w:hAnsi="Cambria"/>
                <w:sz w:val="18"/>
                <w:szCs w:val="18"/>
              </w:rPr>
              <w:t>2</w:t>
            </w:r>
          </w:p>
        </w:tc>
        <w:tc>
          <w:tcPr>
            <w:tcW w:w="850"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UK</w:t>
            </w:r>
          </w:p>
        </w:tc>
        <w:tc>
          <w:tcPr>
            <w:tcW w:w="1134" w:type="dxa"/>
            <w:vAlign w:val="center"/>
          </w:tcPr>
          <w:p w:rsidR="00F171A8" w:rsidRPr="00CA6939" w:rsidRDefault="00F171A8" w:rsidP="00F171A8">
            <w:pPr>
              <w:spacing w:before="60" w:after="60"/>
              <w:ind w:firstLine="0"/>
              <w:jc w:val="left"/>
              <w:rPr>
                <w:color w:val="000000"/>
                <w:sz w:val="18"/>
                <w:szCs w:val="22"/>
                <w:lang w:val="en-US"/>
              </w:rPr>
            </w:pPr>
            <w:r w:rsidRPr="00CA6939">
              <w:rPr>
                <w:color w:val="000000"/>
                <w:sz w:val="18"/>
                <w:szCs w:val="22"/>
                <w:lang w:val="en-US"/>
              </w:rPr>
              <w:t>-19.1</w:t>
            </w:r>
          </w:p>
        </w:tc>
        <w:tc>
          <w:tcPr>
            <w:tcW w:w="907"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US</w:t>
            </w:r>
          </w:p>
        </w:tc>
        <w:tc>
          <w:tcPr>
            <w:tcW w:w="1134"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-12.3</w:t>
            </w:r>
          </w:p>
        </w:tc>
        <w:tc>
          <w:tcPr>
            <w:tcW w:w="850"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FI</w:t>
            </w:r>
          </w:p>
        </w:tc>
        <w:tc>
          <w:tcPr>
            <w:tcW w:w="1134" w:type="dxa"/>
            <w:vAlign w:val="center"/>
          </w:tcPr>
          <w:p w:rsidR="00F171A8" w:rsidRPr="00CA6939" w:rsidRDefault="00F171A8" w:rsidP="00F171A8">
            <w:pPr>
              <w:spacing w:before="60" w:after="60"/>
              <w:ind w:firstLine="0"/>
              <w:jc w:val="left"/>
              <w:rPr>
                <w:color w:val="000000"/>
                <w:sz w:val="18"/>
                <w:szCs w:val="22"/>
                <w:lang w:val="en-US"/>
              </w:rPr>
            </w:pPr>
            <w:r w:rsidRPr="00CA6939">
              <w:rPr>
                <w:color w:val="000000"/>
                <w:sz w:val="18"/>
                <w:szCs w:val="22"/>
                <w:lang w:val="en-US"/>
              </w:rPr>
              <w:t>1.1</w:t>
            </w:r>
          </w:p>
        </w:tc>
        <w:tc>
          <w:tcPr>
            <w:tcW w:w="850"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DK</w:t>
            </w:r>
          </w:p>
        </w:tc>
        <w:tc>
          <w:tcPr>
            <w:tcW w:w="1134" w:type="dxa"/>
            <w:vAlign w:val="center"/>
          </w:tcPr>
          <w:p w:rsidR="00F171A8" w:rsidRPr="00CA6939" w:rsidRDefault="00F171A8" w:rsidP="00F171A8">
            <w:pPr>
              <w:spacing w:before="60" w:after="60"/>
              <w:ind w:firstLine="0"/>
              <w:jc w:val="left"/>
              <w:rPr>
                <w:color w:val="000000"/>
                <w:sz w:val="18"/>
                <w:szCs w:val="22"/>
                <w:lang w:val="en-US"/>
              </w:rPr>
            </w:pPr>
            <w:r w:rsidRPr="00CA6939">
              <w:rPr>
                <w:color w:val="000000"/>
                <w:sz w:val="18"/>
                <w:szCs w:val="22"/>
                <w:lang w:val="en-US"/>
              </w:rPr>
              <w:t>-5.4</w:t>
            </w:r>
          </w:p>
        </w:tc>
      </w:tr>
      <w:tr w:rsidR="00F171A8" w:rsidRPr="00CA6939" w:rsidTr="00F171A8">
        <w:trPr>
          <w:trHeight w:val="126"/>
          <w:jc w:val="center"/>
        </w:trPr>
        <w:tc>
          <w:tcPr>
            <w:tcW w:w="964" w:type="dxa"/>
            <w:vAlign w:val="center"/>
          </w:tcPr>
          <w:p w:rsidR="00F171A8" w:rsidRPr="00CA6939" w:rsidRDefault="00F171A8" w:rsidP="00F171A8">
            <w:pPr>
              <w:pStyle w:val="Els-table-text"/>
              <w:keepNext/>
              <w:spacing w:before="60" w:after="60" w:line="240" w:lineRule="auto"/>
              <w:rPr>
                <w:rFonts w:ascii="Cambria" w:hAnsi="Cambria"/>
                <w:sz w:val="18"/>
                <w:szCs w:val="18"/>
              </w:rPr>
            </w:pPr>
            <w:r w:rsidRPr="00CA6939">
              <w:rPr>
                <w:rFonts w:ascii="Cambria" w:hAnsi="Cambria"/>
                <w:sz w:val="18"/>
                <w:szCs w:val="18"/>
              </w:rPr>
              <w:t>3</w:t>
            </w:r>
          </w:p>
        </w:tc>
        <w:tc>
          <w:tcPr>
            <w:tcW w:w="850"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DK</w:t>
            </w:r>
          </w:p>
        </w:tc>
        <w:tc>
          <w:tcPr>
            <w:tcW w:w="1134" w:type="dxa"/>
            <w:vAlign w:val="center"/>
          </w:tcPr>
          <w:p w:rsidR="00F171A8" w:rsidRPr="00CA6939" w:rsidRDefault="00F171A8" w:rsidP="00F171A8">
            <w:pPr>
              <w:spacing w:before="60" w:after="60"/>
              <w:ind w:firstLine="0"/>
              <w:jc w:val="left"/>
              <w:rPr>
                <w:color w:val="000000"/>
                <w:sz w:val="18"/>
                <w:szCs w:val="22"/>
                <w:lang w:val="en-US"/>
              </w:rPr>
            </w:pPr>
            <w:r w:rsidRPr="00CA6939">
              <w:rPr>
                <w:color w:val="000000"/>
                <w:sz w:val="18"/>
                <w:szCs w:val="22"/>
                <w:lang w:val="en-US"/>
              </w:rPr>
              <w:t>-19.5</w:t>
            </w:r>
          </w:p>
        </w:tc>
        <w:tc>
          <w:tcPr>
            <w:tcW w:w="907"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FR</w:t>
            </w:r>
          </w:p>
        </w:tc>
        <w:tc>
          <w:tcPr>
            <w:tcW w:w="1134"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27.7</w:t>
            </w:r>
          </w:p>
        </w:tc>
        <w:tc>
          <w:tcPr>
            <w:tcW w:w="850"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SE</w:t>
            </w:r>
          </w:p>
        </w:tc>
        <w:tc>
          <w:tcPr>
            <w:tcW w:w="1134" w:type="dxa"/>
            <w:vAlign w:val="center"/>
          </w:tcPr>
          <w:p w:rsidR="00F171A8" w:rsidRPr="00CA6939" w:rsidRDefault="00F171A8" w:rsidP="00F171A8">
            <w:pPr>
              <w:spacing w:before="60" w:after="60"/>
              <w:ind w:firstLine="0"/>
              <w:jc w:val="left"/>
              <w:rPr>
                <w:color w:val="000000"/>
                <w:sz w:val="18"/>
                <w:szCs w:val="22"/>
                <w:lang w:val="en-US"/>
              </w:rPr>
            </w:pPr>
            <w:r w:rsidRPr="00CA6939">
              <w:rPr>
                <w:color w:val="000000"/>
                <w:sz w:val="18"/>
                <w:szCs w:val="22"/>
                <w:lang w:val="en-US"/>
              </w:rPr>
              <w:t>0.0</w:t>
            </w:r>
          </w:p>
        </w:tc>
        <w:tc>
          <w:tcPr>
            <w:tcW w:w="850"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NO</w:t>
            </w:r>
          </w:p>
        </w:tc>
        <w:tc>
          <w:tcPr>
            <w:tcW w:w="1134" w:type="dxa"/>
            <w:vAlign w:val="center"/>
          </w:tcPr>
          <w:p w:rsidR="00F171A8" w:rsidRPr="00CA6939" w:rsidRDefault="00F171A8" w:rsidP="00F171A8">
            <w:pPr>
              <w:spacing w:before="60" w:after="60"/>
              <w:ind w:firstLine="0"/>
              <w:jc w:val="left"/>
              <w:rPr>
                <w:color w:val="000000"/>
                <w:sz w:val="18"/>
                <w:szCs w:val="22"/>
                <w:lang w:val="en-US"/>
              </w:rPr>
            </w:pPr>
            <w:r w:rsidRPr="00CA6939">
              <w:rPr>
                <w:color w:val="000000"/>
                <w:sz w:val="18"/>
                <w:szCs w:val="22"/>
                <w:lang w:val="en-US"/>
              </w:rPr>
              <w:t>-0.7</w:t>
            </w:r>
          </w:p>
        </w:tc>
      </w:tr>
      <w:tr w:rsidR="00F171A8" w:rsidRPr="00CA6939" w:rsidTr="00F171A8">
        <w:trPr>
          <w:trHeight w:val="126"/>
          <w:jc w:val="center"/>
        </w:trPr>
        <w:tc>
          <w:tcPr>
            <w:tcW w:w="964" w:type="dxa"/>
            <w:vAlign w:val="center"/>
          </w:tcPr>
          <w:p w:rsidR="00F171A8" w:rsidRPr="00CA6939" w:rsidRDefault="00F171A8" w:rsidP="00F171A8">
            <w:pPr>
              <w:pStyle w:val="Els-table-text"/>
              <w:keepNext/>
              <w:spacing w:before="60" w:after="60" w:line="240" w:lineRule="auto"/>
              <w:rPr>
                <w:rFonts w:ascii="Cambria" w:hAnsi="Cambria"/>
                <w:sz w:val="18"/>
                <w:szCs w:val="18"/>
              </w:rPr>
            </w:pPr>
            <w:r w:rsidRPr="00CA6939">
              <w:rPr>
                <w:rFonts w:ascii="Cambria" w:hAnsi="Cambria"/>
                <w:sz w:val="18"/>
                <w:szCs w:val="18"/>
              </w:rPr>
              <w:t>4</w:t>
            </w:r>
          </w:p>
        </w:tc>
        <w:tc>
          <w:tcPr>
            <w:tcW w:w="850"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CO</w:t>
            </w:r>
          </w:p>
        </w:tc>
        <w:tc>
          <w:tcPr>
            <w:tcW w:w="1134" w:type="dxa"/>
            <w:vAlign w:val="center"/>
          </w:tcPr>
          <w:p w:rsidR="00F171A8" w:rsidRPr="00CA6939" w:rsidRDefault="00F171A8" w:rsidP="00F171A8">
            <w:pPr>
              <w:spacing w:before="60" w:after="60"/>
              <w:ind w:firstLine="0"/>
              <w:jc w:val="left"/>
              <w:rPr>
                <w:color w:val="000000"/>
                <w:sz w:val="18"/>
                <w:szCs w:val="22"/>
                <w:lang w:val="en-US"/>
              </w:rPr>
            </w:pPr>
            <w:r w:rsidRPr="00CA6939">
              <w:rPr>
                <w:color w:val="000000"/>
                <w:sz w:val="18"/>
                <w:szCs w:val="22"/>
                <w:lang w:val="en-US"/>
              </w:rPr>
              <w:t>0.0</w:t>
            </w:r>
          </w:p>
        </w:tc>
        <w:tc>
          <w:tcPr>
            <w:tcW w:w="907"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CA</w:t>
            </w:r>
          </w:p>
        </w:tc>
        <w:tc>
          <w:tcPr>
            <w:tcW w:w="1134"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22.0</w:t>
            </w:r>
          </w:p>
        </w:tc>
        <w:tc>
          <w:tcPr>
            <w:tcW w:w="850"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NZ</w:t>
            </w:r>
          </w:p>
        </w:tc>
        <w:tc>
          <w:tcPr>
            <w:tcW w:w="1134" w:type="dxa"/>
            <w:vAlign w:val="center"/>
          </w:tcPr>
          <w:p w:rsidR="00F171A8" w:rsidRPr="00CA6939" w:rsidRDefault="00F171A8" w:rsidP="00F171A8">
            <w:pPr>
              <w:spacing w:before="60" w:after="60"/>
              <w:ind w:firstLine="0"/>
              <w:jc w:val="left"/>
              <w:rPr>
                <w:color w:val="000000"/>
                <w:sz w:val="18"/>
                <w:szCs w:val="22"/>
                <w:lang w:val="en-US"/>
              </w:rPr>
            </w:pPr>
            <w:r w:rsidRPr="00CA6939">
              <w:rPr>
                <w:color w:val="000000"/>
                <w:sz w:val="18"/>
                <w:szCs w:val="22"/>
                <w:lang w:val="en-US"/>
              </w:rPr>
              <w:t>-3.3</w:t>
            </w:r>
          </w:p>
        </w:tc>
        <w:tc>
          <w:tcPr>
            <w:tcW w:w="850"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CH</w:t>
            </w:r>
          </w:p>
        </w:tc>
        <w:tc>
          <w:tcPr>
            <w:tcW w:w="1134" w:type="dxa"/>
            <w:vAlign w:val="center"/>
          </w:tcPr>
          <w:p w:rsidR="00F171A8" w:rsidRPr="00CA6939" w:rsidRDefault="00F171A8" w:rsidP="00F171A8">
            <w:pPr>
              <w:spacing w:before="60" w:after="60"/>
              <w:ind w:firstLine="0"/>
              <w:jc w:val="left"/>
              <w:rPr>
                <w:color w:val="000000"/>
                <w:sz w:val="18"/>
                <w:szCs w:val="22"/>
                <w:lang w:val="en-US"/>
              </w:rPr>
            </w:pPr>
            <w:r w:rsidRPr="00CA6939">
              <w:rPr>
                <w:color w:val="000000"/>
                <w:sz w:val="18"/>
                <w:szCs w:val="22"/>
                <w:lang w:val="en-US"/>
              </w:rPr>
              <w:t>1.6</w:t>
            </w:r>
          </w:p>
        </w:tc>
      </w:tr>
      <w:tr w:rsidR="00F171A8" w:rsidRPr="00CA6939" w:rsidTr="00F171A8">
        <w:trPr>
          <w:trHeight w:val="126"/>
          <w:jc w:val="center"/>
        </w:trPr>
        <w:tc>
          <w:tcPr>
            <w:tcW w:w="964" w:type="dxa"/>
            <w:vAlign w:val="center"/>
          </w:tcPr>
          <w:p w:rsidR="00F171A8" w:rsidRPr="00CA6939" w:rsidRDefault="00F171A8" w:rsidP="00F171A8">
            <w:pPr>
              <w:pStyle w:val="Els-table-text"/>
              <w:keepNext/>
              <w:spacing w:before="60" w:after="60" w:line="240" w:lineRule="auto"/>
              <w:rPr>
                <w:rFonts w:ascii="Cambria" w:hAnsi="Cambria"/>
                <w:sz w:val="18"/>
                <w:szCs w:val="18"/>
              </w:rPr>
            </w:pPr>
            <w:r w:rsidRPr="00CA6939">
              <w:rPr>
                <w:rFonts w:ascii="Cambria" w:hAnsi="Cambria"/>
                <w:sz w:val="18"/>
                <w:szCs w:val="18"/>
              </w:rPr>
              <w:t>5</w:t>
            </w:r>
          </w:p>
        </w:tc>
        <w:tc>
          <w:tcPr>
            <w:tcW w:w="850"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AU</w:t>
            </w:r>
          </w:p>
        </w:tc>
        <w:tc>
          <w:tcPr>
            <w:tcW w:w="1134" w:type="dxa"/>
            <w:vAlign w:val="center"/>
          </w:tcPr>
          <w:p w:rsidR="00F171A8" w:rsidRPr="00CA6939" w:rsidRDefault="00F171A8" w:rsidP="00F171A8">
            <w:pPr>
              <w:spacing w:before="60" w:after="60"/>
              <w:ind w:firstLine="0"/>
              <w:jc w:val="left"/>
              <w:rPr>
                <w:color w:val="000000"/>
                <w:sz w:val="18"/>
                <w:szCs w:val="22"/>
                <w:lang w:val="en-US"/>
              </w:rPr>
            </w:pPr>
            <w:r w:rsidRPr="00CA6939">
              <w:rPr>
                <w:color w:val="000000"/>
                <w:sz w:val="18"/>
                <w:szCs w:val="22"/>
                <w:lang w:val="en-US"/>
              </w:rPr>
              <w:t>1.5</w:t>
            </w:r>
          </w:p>
        </w:tc>
        <w:tc>
          <w:tcPr>
            <w:tcW w:w="907"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DK</w:t>
            </w:r>
          </w:p>
        </w:tc>
        <w:tc>
          <w:tcPr>
            <w:tcW w:w="1134"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6.6</w:t>
            </w:r>
          </w:p>
        </w:tc>
        <w:tc>
          <w:tcPr>
            <w:tcW w:w="850"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NO</w:t>
            </w:r>
          </w:p>
        </w:tc>
        <w:tc>
          <w:tcPr>
            <w:tcW w:w="1134" w:type="dxa"/>
            <w:vAlign w:val="center"/>
          </w:tcPr>
          <w:p w:rsidR="00F171A8" w:rsidRPr="00CA6939" w:rsidRDefault="00F171A8" w:rsidP="00F171A8">
            <w:pPr>
              <w:spacing w:before="60" w:after="60"/>
              <w:ind w:firstLine="0"/>
              <w:jc w:val="left"/>
              <w:rPr>
                <w:color w:val="000000"/>
                <w:sz w:val="18"/>
                <w:szCs w:val="22"/>
                <w:lang w:val="en-US"/>
              </w:rPr>
            </w:pPr>
            <w:r w:rsidRPr="00CA6939">
              <w:rPr>
                <w:color w:val="000000"/>
                <w:sz w:val="18"/>
                <w:szCs w:val="22"/>
                <w:lang w:val="en-US"/>
              </w:rPr>
              <w:t>1.2</w:t>
            </w:r>
          </w:p>
        </w:tc>
        <w:tc>
          <w:tcPr>
            <w:tcW w:w="850"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FI</w:t>
            </w:r>
          </w:p>
        </w:tc>
        <w:tc>
          <w:tcPr>
            <w:tcW w:w="1134" w:type="dxa"/>
            <w:vAlign w:val="center"/>
          </w:tcPr>
          <w:p w:rsidR="00F171A8" w:rsidRPr="00CA6939" w:rsidRDefault="00F171A8" w:rsidP="00F171A8">
            <w:pPr>
              <w:spacing w:before="60" w:after="60"/>
              <w:ind w:firstLine="0"/>
              <w:jc w:val="left"/>
              <w:rPr>
                <w:color w:val="000000"/>
                <w:sz w:val="18"/>
                <w:szCs w:val="22"/>
                <w:lang w:val="en-US"/>
              </w:rPr>
            </w:pPr>
            <w:r w:rsidRPr="00CA6939">
              <w:rPr>
                <w:color w:val="000000"/>
                <w:sz w:val="18"/>
                <w:szCs w:val="22"/>
                <w:lang w:val="en-US"/>
              </w:rPr>
              <w:t>-1.9</w:t>
            </w:r>
          </w:p>
        </w:tc>
      </w:tr>
      <w:tr w:rsidR="00F171A8" w:rsidRPr="00CA6939" w:rsidTr="00F171A8">
        <w:trPr>
          <w:trHeight w:val="126"/>
          <w:jc w:val="center"/>
        </w:trPr>
        <w:tc>
          <w:tcPr>
            <w:tcW w:w="964" w:type="dxa"/>
            <w:vAlign w:val="center"/>
          </w:tcPr>
          <w:p w:rsidR="00F171A8" w:rsidRPr="00CA6939" w:rsidRDefault="00F171A8" w:rsidP="00F171A8">
            <w:pPr>
              <w:pStyle w:val="Els-table-text"/>
              <w:keepNext/>
              <w:spacing w:before="60" w:after="60" w:line="240" w:lineRule="auto"/>
              <w:rPr>
                <w:rFonts w:ascii="Cambria" w:hAnsi="Cambria"/>
                <w:sz w:val="18"/>
                <w:szCs w:val="18"/>
              </w:rPr>
            </w:pPr>
            <w:r w:rsidRPr="00CA6939">
              <w:rPr>
                <w:rFonts w:ascii="Cambria" w:hAnsi="Cambria"/>
                <w:sz w:val="18"/>
                <w:szCs w:val="18"/>
              </w:rPr>
              <w:t>6</w:t>
            </w:r>
          </w:p>
        </w:tc>
        <w:tc>
          <w:tcPr>
            <w:tcW w:w="850"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FI</w:t>
            </w:r>
          </w:p>
        </w:tc>
        <w:tc>
          <w:tcPr>
            <w:tcW w:w="1134" w:type="dxa"/>
            <w:vAlign w:val="center"/>
          </w:tcPr>
          <w:p w:rsidR="00F171A8" w:rsidRPr="00CA6939" w:rsidRDefault="00F171A8" w:rsidP="00F171A8">
            <w:pPr>
              <w:spacing w:before="60" w:after="60"/>
              <w:ind w:firstLine="0"/>
              <w:jc w:val="left"/>
              <w:rPr>
                <w:color w:val="000000"/>
                <w:sz w:val="18"/>
                <w:szCs w:val="22"/>
                <w:lang w:val="en-US"/>
              </w:rPr>
            </w:pPr>
            <w:r w:rsidRPr="00CA6939">
              <w:rPr>
                <w:color w:val="000000"/>
                <w:sz w:val="18"/>
                <w:szCs w:val="22"/>
                <w:lang w:val="en-US"/>
              </w:rPr>
              <w:t>-6.9</w:t>
            </w:r>
          </w:p>
        </w:tc>
        <w:tc>
          <w:tcPr>
            <w:tcW w:w="907"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NZ</w:t>
            </w:r>
          </w:p>
        </w:tc>
        <w:tc>
          <w:tcPr>
            <w:tcW w:w="1134"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2.7</w:t>
            </w:r>
          </w:p>
        </w:tc>
        <w:tc>
          <w:tcPr>
            <w:tcW w:w="850"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NL</w:t>
            </w:r>
          </w:p>
        </w:tc>
        <w:tc>
          <w:tcPr>
            <w:tcW w:w="1134" w:type="dxa"/>
            <w:vAlign w:val="center"/>
          </w:tcPr>
          <w:p w:rsidR="00F171A8" w:rsidRPr="00CA6939" w:rsidRDefault="00F171A8" w:rsidP="00F171A8">
            <w:pPr>
              <w:spacing w:before="60" w:after="60"/>
              <w:ind w:firstLine="0"/>
              <w:jc w:val="left"/>
              <w:rPr>
                <w:color w:val="000000"/>
                <w:sz w:val="18"/>
                <w:szCs w:val="22"/>
                <w:lang w:val="en-US"/>
              </w:rPr>
            </w:pPr>
            <w:r w:rsidRPr="00CA6939">
              <w:rPr>
                <w:color w:val="000000"/>
                <w:sz w:val="18"/>
                <w:szCs w:val="22"/>
                <w:lang w:val="en-US"/>
              </w:rPr>
              <w:t>4.8</w:t>
            </w:r>
          </w:p>
        </w:tc>
        <w:tc>
          <w:tcPr>
            <w:tcW w:w="850"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SE</w:t>
            </w:r>
          </w:p>
        </w:tc>
        <w:tc>
          <w:tcPr>
            <w:tcW w:w="1134" w:type="dxa"/>
            <w:vAlign w:val="center"/>
          </w:tcPr>
          <w:p w:rsidR="00F171A8" w:rsidRPr="00CA6939" w:rsidRDefault="00F171A8" w:rsidP="00F171A8">
            <w:pPr>
              <w:spacing w:before="60" w:after="60"/>
              <w:ind w:firstLine="0"/>
              <w:jc w:val="left"/>
              <w:rPr>
                <w:color w:val="000000"/>
                <w:sz w:val="18"/>
                <w:szCs w:val="22"/>
                <w:lang w:val="en-US"/>
              </w:rPr>
            </w:pPr>
            <w:r w:rsidRPr="00CA6939">
              <w:rPr>
                <w:color w:val="000000"/>
                <w:sz w:val="18"/>
                <w:szCs w:val="22"/>
                <w:lang w:val="en-US"/>
              </w:rPr>
              <w:t>-7.2</w:t>
            </w:r>
          </w:p>
        </w:tc>
      </w:tr>
      <w:tr w:rsidR="00F171A8" w:rsidRPr="00CA6939" w:rsidTr="00F171A8">
        <w:trPr>
          <w:trHeight w:val="126"/>
          <w:jc w:val="center"/>
        </w:trPr>
        <w:tc>
          <w:tcPr>
            <w:tcW w:w="964" w:type="dxa"/>
            <w:vAlign w:val="center"/>
          </w:tcPr>
          <w:p w:rsidR="00F171A8" w:rsidRPr="00CA6939" w:rsidRDefault="00F171A8" w:rsidP="00F171A8">
            <w:pPr>
              <w:pStyle w:val="Els-table-text"/>
              <w:keepNext/>
              <w:spacing w:before="60" w:after="60" w:line="240" w:lineRule="auto"/>
              <w:rPr>
                <w:rFonts w:ascii="Cambria" w:hAnsi="Cambria"/>
                <w:sz w:val="18"/>
                <w:szCs w:val="18"/>
              </w:rPr>
            </w:pPr>
            <w:r w:rsidRPr="00CA6939">
              <w:rPr>
                <w:rFonts w:ascii="Cambria" w:hAnsi="Cambria"/>
                <w:sz w:val="18"/>
                <w:szCs w:val="18"/>
              </w:rPr>
              <w:t>7</w:t>
            </w:r>
          </w:p>
        </w:tc>
        <w:tc>
          <w:tcPr>
            <w:tcW w:w="850"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UY</w:t>
            </w:r>
          </w:p>
        </w:tc>
        <w:tc>
          <w:tcPr>
            <w:tcW w:w="1134" w:type="dxa"/>
            <w:vAlign w:val="center"/>
          </w:tcPr>
          <w:p w:rsidR="00F171A8" w:rsidRPr="00CA6939" w:rsidRDefault="00F171A8" w:rsidP="00F171A8">
            <w:pPr>
              <w:spacing w:before="60" w:after="60"/>
              <w:ind w:firstLine="0"/>
              <w:jc w:val="left"/>
              <w:rPr>
                <w:color w:val="000000"/>
                <w:sz w:val="18"/>
                <w:szCs w:val="22"/>
                <w:lang w:val="en-US"/>
              </w:rPr>
            </w:pPr>
            <w:r w:rsidRPr="00CA6939">
              <w:rPr>
                <w:color w:val="000000"/>
                <w:sz w:val="18"/>
                <w:szCs w:val="22"/>
                <w:lang w:val="en-US"/>
              </w:rPr>
              <w:t>0.0</w:t>
            </w:r>
          </w:p>
        </w:tc>
        <w:tc>
          <w:tcPr>
            <w:tcW w:w="907"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NL</w:t>
            </w:r>
          </w:p>
        </w:tc>
        <w:tc>
          <w:tcPr>
            <w:tcW w:w="1134"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18.0</w:t>
            </w:r>
          </w:p>
        </w:tc>
        <w:tc>
          <w:tcPr>
            <w:tcW w:w="850"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CH</w:t>
            </w:r>
          </w:p>
        </w:tc>
        <w:tc>
          <w:tcPr>
            <w:tcW w:w="1134" w:type="dxa"/>
            <w:vAlign w:val="center"/>
          </w:tcPr>
          <w:p w:rsidR="00F171A8" w:rsidRPr="00CA6939" w:rsidRDefault="00F171A8" w:rsidP="00F171A8">
            <w:pPr>
              <w:spacing w:before="60" w:after="60"/>
              <w:ind w:firstLine="0"/>
              <w:jc w:val="left"/>
              <w:rPr>
                <w:color w:val="000000"/>
                <w:sz w:val="18"/>
                <w:szCs w:val="22"/>
                <w:lang w:val="en-US"/>
              </w:rPr>
            </w:pPr>
            <w:r w:rsidRPr="00CA6939">
              <w:rPr>
                <w:color w:val="000000"/>
                <w:sz w:val="18"/>
                <w:szCs w:val="22"/>
                <w:lang w:val="en-US"/>
              </w:rPr>
              <w:t>1.2</w:t>
            </w:r>
          </w:p>
        </w:tc>
        <w:tc>
          <w:tcPr>
            <w:tcW w:w="850"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SG</w:t>
            </w:r>
          </w:p>
        </w:tc>
        <w:tc>
          <w:tcPr>
            <w:tcW w:w="1134" w:type="dxa"/>
            <w:vAlign w:val="center"/>
          </w:tcPr>
          <w:p w:rsidR="00F171A8" w:rsidRPr="00CA6939" w:rsidRDefault="00F171A8" w:rsidP="00F171A8">
            <w:pPr>
              <w:spacing w:before="60" w:after="60"/>
              <w:ind w:firstLine="0"/>
              <w:jc w:val="left"/>
              <w:rPr>
                <w:color w:val="000000"/>
                <w:sz w:val="18"/>
                <w:szCs w:val="22"/>
                <w:lang w:val="en-US"/>
              </w:rPr>
            </w:pPr>
            <w:r w:rsidRPr="00CA6939">
              <w:rPr>
                <w:color w:val="000000"/>
                <w:sz w:val="18"/>
                <w:szCs w:val="22"/>
                <w:lang w:val="en-US"/>
              </w:rPr>
              <w:t>-1.7</w:t>
            </w:r>
          </w:p>
        </w:tc>
      </w:tr>
      <w:tr w:rsidR="00F171A8" w:rsidRPr="00CA6939" w:rsidTr="00F171A8">
        <w:trPr>
          <w:trHeight w:val="126"/>
          <w:jc w:val="center"/>
        </w:trPr>
        <w:tc>
          <w:tcPr>
            <w:tcW w:w="964" w:type="dxa"/>
            <w:vAlign w:val="center"/>
          </w:tcPr>
          <w:p w:rsidR="00F171A8" w:rsidRPr="00CA6939" w:rsidRDefault="00F171A8" w:rsidP="00F171A8">
            <w:pPr>
              <w:pStyle w:val="Els-table-text"/>
              <w:keepNext/>
              <w:spacing w:before="60" w:after="60" w:line="240" w:lineRule="auto"/>
              <w:rPr>
                <w:rFonts w:ascii="Cambria" w:hAnsi="Cambria"/>
                <w:sz w:val="18"/>
                <w:szCs w:val="18"/>
              </w:rPr>
            </w:pPr>
            <w:r w:rsidRPr="00CA6939">
              <w:rPr>
                <w:rFonts w:ascii="Cambria" w:hAnsi="Cambria"/>
                <w:sz w:val="18"/>
                <w:szCs w:val="18"/>
              </w:rPr>
              <w:t>8</w:t>
            </w:r>
          </w:p>
        </w:tc>
        <w:tc>
          <w:tcPr>
            <w:tcW w:w="850"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US</w:t>
            </w:r>
          </w:p>
        </w:tc>
        <w:tc>
          <w:tcPr>
            <w:tcW w:w="1134" w:type="dxa"/>
            <w:vAlign w:val="center"/>
          </w:tcPr>
          <w:p w:rsidR="00F171A8" w:rsidRPr="00CA6939" w:rsidRDefault="00F171A8" w:rsidP="00F171A8">
            <w:pPr>
              <w:spacing w:before="60" w:after="60"/>
              <w:ind w:firstLine="0"/>
              <w:jc w:val="left"/>
              <w:rPr>
                <w:color w:val="000000"/>
                <w:sz w:val="18"/>
                <w:szCs w:val="22"/>
                <w:lang w:val="en-US"/>
              </w:rPr>
            </w:pPr>
            <w:r w:rsidRPr="00CA6939">
              <w:rPr>
                <w:color w:val="000000"/>
                <w:sz w:val="18"/>
                <w:szCs w:val="22"/>
                <w:lang w:val="en-US"/>
              </w:rPr>
              <w:t>-26.4</w:t>
            </w:r>
          </w:p>
        </w:tc>
        <w:tc>
          <w:tcPr>
            <w:tcW w:w="907"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KR</w:t>
            </w:r>
          </w:p>
        </w:tc>
        <w:tc>
          <w:tcPr>
            <w:tcW w:w="1134"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31.3</w:t>
            </w:r>
          </w:p>
        </w:tc>
        <w:tc>
          <w:tcPr>
            <w:tcW w:w="850"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SG</w:t>
            </w:r>
          </w:p>
        </w:tc>
        <w:tc>
          <w:tcPr>
            <w:tcW w:w="1134" w:type="dxa"/>
            <w:vAlign w:val="center"/>
          </w:tcPr>
          <w:p w:rsidR="00F171A8" w:rsidRPr="00CA6939" w:rsidRDefault="00F171A8" w:rsidP="00F171A8">
            <w:pPr>
              <w:spacing w:before="60" w:after="60"/>
              <w:ind w:firstLine="0"/>
              <w:jc w:val="left"/>
              <w:rPr>
                <w:color w:val="000000"/>
                <w:sz w:val="18"/>
                <w:szCs w:val="22"/>
                <w:lang w:val="en-US"/>
              </w:rPr>
            </w:pPr>
            <w:r w:rsidRPr="00CA6939">
              <w:rPr>
                <w:color w:val="000000"/>
                <w:sz w:val="18"/>
                <w:szCs w:val="22"/>
                <w:lang w:val="en-US"/>
              </w:rPr>
              <w:t>-1.2</w:t>
            </w:r>
          </w:p>
        </w:tc>
        <w:tc>
          <w:tcPr>
            <w:tcW w:w="850"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LU</w:t>
            </w:r>
          </w:p>
        </w:tc>
        <w:tc>
          <w:tcPr>
            <w:tcW w:w="1134" w:type="dxa"/>
            <w:vAlign w:val="center"/>
          </w:tcPr>
          <w:p w:rsidR="00F171A8" w:rsidRPr="00CA6939" w:rsidRDefault="00F171A8" w:rsidP="00F171A8">
            <w:pPr>
              <w:spacing w:before="60" w:after="60"/>
              <w:ind w:firstLine="0"/>
              <w:jc w:val="left"/>
              <w:rPr>
                <w:color w:val="000000"/>
                <w:sz w:val="18"/>
                <w:szCs w:val="22"/>
                <w:lang w:val="en-US"/>
              </w:rPr>
            </w:pPr>
            <w:r w:rsidRPr="00CA6939">
              <w:rPr>
                <w:color w:val="000000"/>
                <w:sz w:val="18"/>
                <w:szCs w:val="22"/>
                <w:lang w:val="en-US"/>
              </w:rPr>
              <w:t>-1.6</w:t>
            </w:r>
          </w:p>
        </w:tc>
      </w:tr>
      <w:tr w:rsidR="00F171A8" w:rsidRPr="00CA6939" w:rsidTr="00F171A8">
        <w:trPr>
          <w:trHeight w:val="80"/>
          <w:jc w:val="center"/>
        </w:trPr>
        <w:tc>
          <w:tcPr>
            <w:tcW w:w="964" w:type="dxa"/>
            <w:vAlign w:val="center"/>
          </w:tcPr>
          <w:p w:rsidR="00F171A8" w:rsidRPr="00CA6939" w:rsidRDefault="00F171A8" w:rsidP="00F171A8">
            <w:pPr>
              <w:pStyle w:val="Els-table-text"/>
              <w:keepNext/>
              <w:spacing w:before="60" w:after="60" w:line="240" w:lineRule="auto"/>
              <w:rPr>
                <w:rFonts w:ascii="Cambria" w:hAnsi="Cambria"/>
                <w:sz w:val="18"/>
                <w:szCs w:val="18"/>
              </w:rPr>
            </w:pPr>
            <w:r w:rsidRPr="00CA6939">
              <w:rPr>
                <w:rFonts w:ascii="Cambria" w:hAnsi="Cambria"/>
                <w:sz w:val="18"/>
                <w:szCs w:val="18"/>
              </w:rPr>
              <w:t>9</w:t>
            </w:r>
          </w:p>
        </w:tc>
        <w:tc>
          <w:tcPr>
            <w:tcW w:w="850"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NL</w:t>
            </w:r>
          </w:p>
        </w:tc>
        <w:tc>
          <w:tcPr>
            <w:tcW w:w="1134" w:type="dxa"/>
            <w:vAlign w:val="center"/>
          </w:tcPr>
          <w:p w:rsidR="00F171A8" w:rsidRPr="00CA6939" w:rsidRDefault="00F171A8" w:rsidP="00F171A8">
            <w:pPr>
              <w:spacing w:before="60" w:after="60"/>
              <w:ind w:firstLine="0"/>
              <w:jc w:val="left"/>
              <w:rPr>
                <w:color w:val="000000"/>
                <w:sz w:val="18"/>
                <w:szCs w:val="22"/>
                <w:lang w:val="en-US"/>
              </w:rPr>
            </w:pPr>
            <w:r w:rsidRPr="00CA6939">
              <w:rPr>
                <w:color w:val="000000"/>
                <w:sz w:val="18"/>
                <w:szCs w:val="22"/>
                <w:lang w:val="en-US"/>
              </w:rPr>
              <w:t>-13.5</w:t>
            </w:r>
          </w:p>
        </w:tc>
        <w:tc>
          <w:tcPr>
            <w:tcW w:w="907"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SE</w:t>
            </w:r>
          </w:p>
        </w:tc>
        <w:tc>
          <w:tcPr>
            <w:tcW w:w="1134"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-19.2</w:t>
            </w:r>
          </w:p>
        </w:tc>
        <w:tc>
          <w:tcPr>
            <w:tcW w:w="850"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CA</w:t>
            </w:r>
          </w:p>
        </w:tc>
        <w:tc>
          <w:tcPr>
            <w:tcW w:w="1134" w:type="dxa"/>
            <w:vAlign w:val="center"/>
          </w:tcPr>
          <w:p w:rsidR="00F171A8" w:rsidRPr="00CA6939" w:rsidRDefault="00F171A8" w:rsidP="00F171A8">
            <w:pPr>
              <w:spacing w:before="60" w:after="60"/>
              <w:ind w:firstLine="0"/>
              <w:jc w:val="left"/>
              <w:rPr>
                <w:color w:val="000000"/>
                <w:sz w:val="18"/>
                <w:szCs w:val="22"/>
                <w:lang w:val="en-US"/>
              </w:rPr>
            </w:pPr>
            <w:r w:rsidRPr="00CA6939">
              <w:rPr>
                <w:color w:val="000000"/>
                <w:sz w:val="18"/>
                <w:szCs w:val="22"/>
                <w:lang w:val="en-US"/>
              </w:rPr>
              <w:t>2.5</w:t>
            </w:r>
          </w:p>
        </w:tc>
        <w:tc>
          <w:tcPr>
            <w:tcW w:w="850"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LI</w:t>
            </w:r>
          </w:p>
        </w:tc>
        <w:tc>
          <w:tcPr>
            <w:tcW w:w="1134" w:type="dxa"/>
            <w:vAlign w:val="center"/>
          </w:tcPr>
          <w:p w:rsidR="00F171A8" w:rsidRPr="00CA6939" w:rsidRDefault="00F171A8" w:rsidP="00F171A8">
            <w:pPr>
              <w:spacing w:before="60" w:after="60"/>
              <w:ind w:firstLine="0"/>
              <w:jc w:val="left"/>
              <w:rPr>
                <w:color w:val="000000"/>
                <w:sz w:val="18"/>
                <w:szCs w:val="22"/>
                <w:lang w:val="en-US"/>
              </w:rPr>
            </w:pPr>
            <w:r w:rsidRPr="00CA6939">
              <w:rPr>
                <w:color w:val="000000"/>
                <w:sz w:val="18"/>
                <w:szCs w:val="22"/>
                <w:lang w:val="en-US"/>
              </w:rPr>
              <w:t>15.3</w:t>
            </w:r>
          </w:p>
        </w:tc>
      </w:tr>
      <w:tr w:rsidR="00F171A8" w:rsidRPr="00CA6939" w:rsidTr="00F171A8">
        <w:trPr>
          <w:trHeight w:val="126"/>
          <w:jc w:val="center"/>
        </w:trPr>
        <w:tc>
          <w:tcPr>
            <w:tcW w:w="964" w:type="dxa"/>
            <w:vAlign w:val="center"/>
          </w:tcPr>
          <w:p w:rsidR="00F171A8" w:rsidRPr="00CA6939" w:rsidRDefault="00F171A8" w:rsidP="00F171A8">
            <w:pPr>
              <w:pStyle w:val="Els-table-text"/>
              <w:keepNext/>
              <w:spacing w:before="60" w:after="60" w:line="240" w:lineRule="auto"/>
              <w:rPr>
                <w:rFonts w:ascii="Cambria" w:hAnsi="Cambria"/>
                <w:sz w:val="18"/>
                <w:szCs w:val="18"/>
              </w:rPr>
            </w:pPr>
            <w:r w:rsidRPr="00CA6939">
              <w:rPr>
                <w:rFonts w:ascii="Cambria" w:hAnsi="Cambria"/>
                <w:sz w:val="18"/>
                <w:szCs w:val="18"/>
              </w:rPr>
              <w:t>10</w:t>
            </w:r>
          </w:p>
        </w:tc>
        <w:tc>
          <w:tcPr>
            <w:tcW w:w="850"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FR</w:t>
            </w:r>
          </w:p>
        </w:tc>
        <w:tc>
          <w:tcPr>
            <w:tcW w:w="1134" w:type="dxa"/>
            <w:vAlign w:val="center"/>
          </w:tcPr>
          <w:p w:rsidR="00F171A8" w:rsidRPr="00CA6939" w:rsidRDefault="00F171A8" w:rsidP="00F171A8">
            <w:pPr>
              <w:spacing w:before="60" w:after="60"/>
              <w:ind w:firstLine="0"/>
              <w:jc w:val="left"/>
              <w:rPr>
                <w:color w:val="000000"/>
                <w:sz w:val="18"/>
                <w:szCs w:val="22"/>
                <w:lang w:val="en-US"/>
              </w:rPr>
            </w:pPr>
            <w:r w:rsidRPr="00CA6939">
              <w:rPr>
                <w:color w:val="000000"/>
                <w:sz w:val="18"/>
                <w:szCs w:val="22"/>
                <w:lang w:val="en-US"/>
              </w:rPr>
              <w:t>6.8</w:t>
            </w:r>
          </w:p>
        </w:tc>
        <w:tc>
          <w:tcPr>
            <w:tcW w:w="907"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AU</w:t>
            </w:r>
          </w:p>
        </w:tc>
        <w:tc>
          <w:tcPr>
            <w:tcW w:w="1134"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0.5</w:t>
            </w:r>
          </w:p>
        </w:tc>
        <w:tc>
          <w:tcPr>
            <w:tcW w:w="850"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LU</w:t>
            </w:r>
          </w:p>
        </w:tc>
        <w:tc>
          <w:tcPr>
            <w:tcW w:w="1134" w:type="dxa"/>
            <w:vAlign w:val="center"/>
          </w:tcPr>
          <w:p w:rsidR="00F171A8" w:rsidRPr="00CA6939" w:rsidRDefault="00F171A8" w:rsidP="00F171A8">
            <w:pPr>
              <w:spacing w:before="60" w:after="60"/>
              <w:ind w:firstLine="0"/>
              <w:jc w:val="left"/>
              <w:rPr>
                <w:color w:val="000000"/>
                <w:sz w:val="18"/>
                <w:szCs w:val="22"/>
                <w:lang w:val="en-US"/>
              </w:rPr>
            </w:pPr>
            <w:r w:rsidRPr="00CA6939">
              <w:rPr>
                <w:color w:val="000000"/>
                <w:sz w:val="18"/>
                <w:szCs w:val="22"/>
                <w:lang w:val="en-US"/>
              </w:rPr>
              <w:t>1.3</w:t>
            </w:r>
          </w:p>
        </w:tc>
        <w:tc>
          <w:tcPr>
            <w:tcW w:w="850" w:type="dxa"/>
            <w:vAlign w:val="center"/>
          </w:tcPr>
          <w:p w:rsidR="00F171A8" w:rsidRPr="00CA6939" w:rsidRDefault="00F171A8" w:rsidP="00F171A8">
            <w:pPr>
              <w:keepNext/>
              <w:spacing w:before="60" w:after="60"/>
              <w:ind w:firstLine="0"/>
              <w:jc w:val="left"/>
              <w:rPr>
                <w:sz w:val="18"/>
                <w:szCs w:val="18"/>
                <w:lang w:val="en-US"/>
              </w:rPr>
            </w:pPr>
            <w:r w:rsidRPr="00CA6939">
              <w:rPr>
                <w:sz w:val="18"/>
                <w:szCs w:val="18"/>
                <w:lang w:val="en-US"/>
              </w:rPr>
              <w:t>NL</w:t>
            </w:r>
          </w:p>
        </w:tc>
        <w:tc>
          <w:tcPr>
            <w:tcW w:w="1134" w:type="dxa"/>
            <w:vAlign w:val="center"/>
          </w:tcPr>
          <w:p w:rsidR="00F171A8" w:rsidRPr="00CA6939" w:rsidRDefault="00F171A8" w:rsidP="00F171A8">
            <w:pPr>
              <w:spacing w:before="60" w:after="60"/>
              <w:ind w:firstLine="0"/>
              <w:jc w:val="left"/>
              <w:rPr>
                <w:color w:val="000000"/>
                <w:sz w:val="18"/>
                <w:szCs w:val="22"/>
                <w:lang w:val="en-US"/>
              </w:rPr>
            </w:pPr>
            <w:r w:rsidRPr="00CA6939">
              <w:rPr>
                <w:color w:val="000000"/>
                <w:sz w:val="18"/>
                <w:szCs w:val="22"/>
                <w:lang w:val="en-US"/>
              </w:rPr>
              <w:t>-6.1</w:t>
            </w:r>
          </w:p>
        </w:tc>
      </w:tr>
      <w:tr w:rsidR="002251A6" w:rsidRPr="00CA6939" w:rsidTr="00F171A8">
        <w:trPr>
          <w:trHeight w:val="170"/>
          <w:jc w:val="center"/>
        </w:trPr>
        <w:tc>
          <w:tcPr>
            <w:tcW w:w="1814" w:type="dxa"/>
            <w:gridSpan w:val="2"/>
            <w:tcBorders>
              <w:bottom w:val="single" w:sz="4" w:space="0" w:color="auto"/>
            </w:tcBorders>
            <w:vAlign w:val="center"/>
          </w:tcPr>
          <w:p w:rsidR="002251A6" w:rsidRPr="00CA6939" w:rsidRDefault="002251A6" w:rsidP="00F171A8">
            <w:pPr>
              <w:keepNext/>
              <w:spacing w:before="60" w:after="60"/>
              <w:ind w:right="-57" w:firstLine="0"/>
              <w:jc w:val="left"/>
              <w:rPr>
                <w:sz w:val="18"/>
                <w:szCs w:val="18"/>
                <w:lang w:val="en-US"/>
              </w:rPr>
            </w:pPr>
            <w:r w:rsidRPr="00CA6939">
              <w:rPr>
                <w:sz w:val="18"/>
                <w:szCs w:val="18"/>
                <w:lang w:val="en-US"/>
              </w:rPr>
              <w:t>All countries covered</w:t>
            </w:r>
          </w:p>
        </w:tc>
        <w:tc>
          <w:tcPr>
            <w:tcW w:w="1134" w:type="dxa"/>
            <w:tcBorders>
              <w:bottom w:val="single" w:sz="4" w:space="0" w:color="auto"/>
            </w:tcBorders>
            <w:vAlign w:val="center"/>
          </w:tcPr>
          <w:p w:rsidR="002251A6" w:rsidRPr="00CA6939" w:rsidRDefault="002251A6" w:rsidP="00F171A8">
            <w:pPr>
              <w:keepNext/>
              <w:spacing w:before="60" w:after="60"/>
              <w:ind w:firstLine="0"/>
              <w:jc w:val="left"/>
              <w:rPr>
                <w:sz w:val="18"/>
                <w:szCs w:val="18"/>
                <w:lang w:val="en-US"/>
              </w:rPr>
            </w:pPr>
            <w:r w:rsidRPr="00CA6939">
              <w:rPr>
                <w:sz w:val="18"/>
                <w:szCs w:val="18"/>
                <w:lang w:val="en-US"/>
              </w:rPr>
              <w:t>-2.1</w:t>
            </w:r>
          </w:p>
        </w:tc>
        <w:tc>
          <w:tcPr>
            <w:tcW w:w="907" w:type="dxa"/>
            <w:tcBorders>
              <w:bottom w:val="single" w:sz="4" w:space="0" w:color="auto"/>
            </w:tcBorders>
            <w:vAlign w:val="center"/>
          </w:tcPr>
          <w:p w:rsidR="002251A6" w:rsidRPr="00CA6939" w:rsidRDefault="002251A6" w:rsidP="00F171A8">
            <w:pPr>
              <w:keepNext/>
              <w:spacing w:before="60" w:after="60"/>
              <w:ind w:firstLine="0"/>
              <w:jc w:val="left"/>
              <w:rPr>
                <w:sz w:val="18"/>
                <w:szCs w:val="18"/>
                <w:lang w:val="en-US"/>
              </w:rPr>
            </w:pPr>
          </w:p>
        </w:tc>
        <w:tc>
          <w:tcPr>
            <w:tcW w:w="1134" w:type="dxa"/>
            <w:tcBorders>
              <w:bottom w:val="single" w:sz="4" w:space="0" w:color="auto"/>
            </w:tcBorders>
            <w:vAlign w:val="center"/>
          </w:tcPr>
          <w:p w:rsidR="002251A6" w:rsidRPr="00CA6939" w:rsidRDefault="002251A6" w:rsidP="00F171A8">
            <w:pPr>
              <w:keepNext/>
              <w:spacing w:before="60" w:after="60"/>
              <w:ind w:firstLine="0"/>
              <w:jc w:val="left"/>
              <w:rPr>
                <w:sz w:val="18"/>
                <w:szCs w:val="18"/>
                <w:lang w:val="en-US"/>
              </w:rPr>
            </w:pPr>
            <w:r w:rsidRPr="00CA6939">
              <w:rPr>
                <w:sz w:val="18"/>
                <w:szCs w:val="18"/>
                <w:lang w:val="en-US"/>
              </w:rPr>
              <w:t>12.6</w:t>
            </w:r>
          </w:p>
        </w:tc>
        <w:tc>
          <w:tcPr>
            <w:tcW w:w="850" w:type="dxa"/>
            <w:tcBorders>
              <w:bottom w:val="single" w:sz="4" w:space="0" w:color="auto"/>
            </w:tcBorders>
            <w:vAlign w:val="center"/>
          </w:tcPr>
          <w:p w:rsidR="002251A6" w:rsidRPr="00CA6939" w:rsidRDefault="002251A6" w:rsidP="00F171A8">
            <w:pPr>
              <w:keepNext/>
              <w:spacing w:before="60" w:after="60"/>
              <w:ind w:firstLine="0"/>
              <w:jc w:val="left"/>
              <w:rPr>
                <w:sz w:val="18"/>
                <w:szCs w:val="18"/>
                <w:lang w:val="en-US"/>
              </w:rPr>
            </w:pPr>
          </w:p>
        </w:tc>
        <w:tc>
          <w:tcPr>
            <w:tcW w:w="1134" w:type="dxa"/>
            <w:tcBorders>
              <w:bottom w:val="single" w:sz="4" w:space="0" w:color="auto"/>
            </w:tcBorders>
            <w:vAlign w:val="center"/>
          </w:tcPr>
          <w:p w:rsidR="002251A6" w:rsidRPr="00CA6939" w:rsidRDefault="002251A6" w:rsidP="00F171A8">
            <w:pPr>
              <w:keepNext/>
              <w:spacing w:before="60" w:after="60"/>
              <w:ind w:firstLine="0"/>
              <w:jc w:val="left"/>
              <w:rPr>
                <w:sz w:val="18"/>
                <w:szCs w:val="18"/>
                <w:lang w:val="en-US"/>
              </w:rPr>
            </w:pPr>
            <w:r w:rsidRPr="00CA6939">
              <w:rPr>
                <w:sz w:val="18"/>
                <w:szCs w:val="18"/>
                <w:lang w:val="en-US"/>
              </w:rPr>
              <w:t>2.0</w:t>
            </w:r>
          </w:p>
        </w:tc>
        <w:tc>
          <w:tcPr>
            <w:tcW w:w="850" w:type="dxa"/>
            <w:tcBorders>
              <w:bottom w:val="single" w:sz="4" w:space="0" w:color="auto"/>
            </w:tcBorders>
            <w:vAlign w:val="center"/>
          </w:tcPr>
          <w:p w:rsidR="002251A6" w:rsidRPr="00CA6939" w:rsidRDefault="002251A6" w:rsidP="00F171A8">
            <w:pPr>
              <w:keepNext/>
              <w:spacing w:before="60" w:after="60"/>
              <w:ind w:firstLine="0"/>
              <w:jc w:val="left"/>
              <w:rPr>
                <w:sz w:val="18"/>
                <w:szCs w:val="18"/>
                <w:lang w:val="en-US"/>
              </w:rPr>
            </w:pPr>
          </w:p>
        </w:tc>
        <w:tc>
          <w:tcPr>
            <w:tcW w:w="1134" w:type="dxa"/>
            <w:tcBorders>
              <w:bottom w:val="single" w:sz="4" w:space="0" w:color="auto"/>
            </w:tcBorders>
            <w:vAlign w:val="center"/>
          </w:tcPr>
          <w:p w:rsidR="002251A6" w:rsidRPr="00CA6939" w:rsidRDefault="002251A6" w:rsidP="00F171A8">
            <w:pPr>
              <w:keepNext/>
              <w:spacing w:before="60" w:after="60"/>
              <w:ind w:firstLine="0"/>
              <w:jc w:val="left"/>
              <w:rPr>
                <w:sz w:val="18"/>
                <w:szCs w:val="18"/>
                <w:lang w:val="en-US"/>
              </w:rPr>
            </w:pPr>
            <w:r w:rsidRPr="00CA6939">
              <w:rPr>
                <w:sz w:val="18"/>
                <w:szCs w:val="18"/>
                <w:lang w:val="en-US"/>
              </w:rPr>
              <w:t>26.5</w:t>
            </w:r>
          </w:p>
        </w:tc>
      </w:tr>
    </w:tbl>
    <w:p w:rsidR="00F2098C" w:rsidRPr="00CA6939" w:rsidRDefault="00F2098C" w:rsidP="00F2098C">
      <w:pPr>
        <w:rPr>
          <w:lang w:val="en-US"/>
        </w:rPr>
      </w:pPr>
    </w:p>
    <w:p w:rsidR="00606CDB" w:rsidRPr="00CA6939" w:rsidRDefault="00E827EC" w:rsidP="001E1703">
      <w:pPr>
        <w:rPr>
          <w:lang w:val="en-US"/>
        </w:rPr>
      </w:pPr>
      <w:r w:rsidRPr="00CA6939">
        <w:rPr>
          <w:lang w:val="en-US"/>
        </w:rPr>
        <w:t>The first limitation of this research</w:t>
      </w:r>
      <w:r w:rsidR="00606CDB" w:rsidRPr="00CA6939">
        <w:rPr>
          <w:lang w:val="en-US"/>
        </w:rPr>
        <w:t xml:space="preserve"> should be the composition of indices, especially when corruption is influenced by many factors </w:t>
      </w:r>
      <w:r w:rsidR="00606CDB" w:rsidRPr="00CA6939">
        <w:rPr>
          <w:lang w:val="en-US"/>
        </w:rPr>
        <w:fldChar w:fldCharType="begin"/>
      </w:r>
      <w:r w:rsidR="00606CDB" w:rsidRPr="00CA6939">
        <w:rPr>
          <w:lang w:val="en-US"/>
        </w:rPr>
        <w:instrText xml:space="preserve"> REF _Ref458925528 \r \h </w:instrText>
      </w:r>
      <w:r w:rsidR="00606CDB" w:rsidRPr="00CA6939">
        <w:rPr>
          <w:lang w:val="en-US"/>
        </w:rPr>
      </w:r>
      <w:r w:rsidR="00606CDB" w:rsidRPr="00CA6939">
        <w:rPr>
          <w:lang w:val="en-US"/>
        </w:rPr>
        <w:fldChar w:fldCharType="separate"/>
      </w:r>
      <w:r w:rsidR="00503208">
        <w:rPr>
          <w:lang w:val="en-US"/>
        </w:rPr>
        <w:t>[1]</w:t>
      </w:r>
      <w:r w:rsidR="00606CDB" w:rsidRPr="00CA6939">
        <w:rPr>
          <w:lang w:val="en-US"/>
        </w:rPr>
        <w:fldChar w:fldCharType="end"/>
      </w:r>
      <w:r w:rsidR="00606CDB" w:rsidRPr="00CA6939">
        <w:rPr>
          <w:lang w:val="en-US"/>
        </w:rPr>
        <w:t xml:space="preserve">, </w:t>
      </w:r>
      <w:r w:rsidR="00606CDB" w:rsidRPr="00CA6939">
        <w:rPr>
          <w:lang w:val="en-US"/>
        </w:rPr>
        <w:fldChar w:fldCharType="begin"/>
      </w:r>
      <w:r w:rsidR="00606CDB" w:rsidRPr="00CA6939">
        <w:rPr>
          <w:lang w:val="en-US"/>
        </w:rPr>
        <w:instrText xml:space="preserve"> REF _Ref458850994 \r \h </w:instrText>
      </w:r>
      <w:r w:rsidR="00606CDB" w:rsidRPr="00CA6939">
        <w:rPr>
          <w:lang w:val="en-US"/>
        </w:rPr>
      </w:r>
      <w:r w:rsidR="00606CDB" w:rsidRPr="00CA6939">
        <w:rPr>
          <w:lang w:val="en-US"/>
        </w:rPr>
        <w:fldChar w:fldCharType="separate"/>
      </w:r>
      <w:r w:rsidR="00503208">
        <w:rPr>
          <w:lang w:val="en-US"/>
        </w:rPr>
        <w:t>[4]</w:t>
      </w:r>
      <w:r w:rsidR="00606CDB" w:rsidRPr="00CA6939">
        <w:rPr>
          <w:lang w:val="en-US"/>
        </w:rPr>
        <w:fldChar w:fldCharType="end"/>
      </w:r>
      <w:r w:rsidR="00606CDB" w:rsidRPr="00CA6939">
        <w:rPr>
          <w:lang w:val="en-US"/>
        </w:rPr>
        <w:t>.</w:t>
      </w:r>
      <w:r w:rsidR="00D80462" w:rsidRPr="00CA6939">
        <w:rPr>
          <w:lang w:val="en-US"/>
        </w:rPr>
        <w:t xml:space="preserve"> Another limitation is that</w:t>
      </w:r>
      <w:r w:rsidR="00CC7048" w:rsidRPr="00CA6939">
        <w:rPr>
          <w:lang w:val="en-US"/>
        </w:rPr>
        <w:t xml:space="preserve"> the available data for open data indices are still quite recent and it may be questioned if the results are sufficiently reliable for the intended purpose. However, this study may serve as a basis for further research</w:t>
      </w:r>
      <w:r w:rsidR="00CD1D29" w:rsidRPr="00CA6939">
        <w:rPr>
          <w:lang w:val="en-US"/>
        </w:rPr>
        <w:t xml:space="preserve">, especially in the context of the proposed methodology for measuring </w:t>
      </w:r>
      <w:r w:rsidR="00DF5331" w:rsidRPr="00CA6939">
        <w:rPr>
          <w:lang w:val="en-US"/>
        </w:rPr>
        <w:t>open data</w:t>
      </w:r>
      <w:r w:rsidR="00CD1D29" w:rsidRPr="00CA6939">
        <w:rPr>
          <w:lang w:val="en-US"/>
        </w:rPr>
        <w:t xml:space="preserve"> effects </w:t>
      </w:r>
      <w:r w:rsidR="00DF5331" w:rsidRPr="00CA6939">
        <w:rPr>
          <w:lang w:val="en-US"/>
        </w:rPr>
        <w:t>on the level of corruption</w:t>
      </w:r>
      <w:r w:rsidR="00CD1D29" w:rsidRPr="00CA6939">
        <w:rPr>
          <w:lang w:val="en-US"/>
        </w:rPr>
        <w:t>.</w:t>
      </w:r>
      <w:r w:rsidR="00CB1814" w:rsidRPr="00CA6939">
        <w:rPr>
          <w:lang w:val="en-US"/>
        </w:rPr>
        <w:t xml:space="preserve"> Further, more consistent results may be achieved by dividing countries into groups according to their </w:t>
      </w:r>
      <w:r w:rsidR="00E52C3B" w:rsidRPr="00CA6939">
        <w:rPr>
          <w:lang w:val="en-US"/>
        </w:rPr>
        <w:t xml:space="preserve">population, </w:t>
      </w:r>
      <w:r w:rsidR="00CB1814" w:rsidRPr="00CA6939">
        <w:rPr>
          <w:lang w:val="en-US"/>
        </w:rPr>
        <w:t>income level,</w:t>
      </w:r>
      <w:r w:rsidR="00E52C3B" w:rsidRPr="00CA6939">
        <w:rPr>
          <w:lang w:val="en-US"/>
        </w:rPr>
        <w:t xml:space="preserve"> unemployment rate, etc., as suggested</w:t>
      </w:r>
      <w:r w:rsidR="00DF5331" w:rsidRPr="00CA6939">
        <w:rPr>
          <w:lang w:val="en-US"/>
        </w:rPr>
        <w:t>, for example,</w:t>
      </w:r>
      <w:r w:rsidR="00E52C3B" w:rsidRPr="00CA6939">
        <w:rPr>
          <w:lang w:val="en-US"/>
        </w:rPr>
        <w:t xml:space="preserve"> by the United Nations’ report on e-government </w:t>
      </w:r>
      <w:r w:rsidR="00E52C3B" w:rsidRPr="00CA6939">
        <w:rPr>
          <w:lang w:val="en-US"/>
        </w:rPr>
        <w:fldChar w:fldCharType="begin"/>
      </w:r>
      <w:r w:rsidR="00E52C3B" w:rsidRPr="00CA6939">
        <w:rPr>
          <w:lang w:val="en-US"/>
        </w:rPr>
        <w:instrText xml:space="preserve"> REF _Ref458929579 \r \h </w:instrText>
      </w:r>
      <w:r w:rsidR="00E52C3B" w:rsidRPr="00CA6939">
        <w:rPr>
          <w:lang w:val="en-US"/>
        </w:rPr>
      </w:r>
      <w:r w:rsidR="00E52C3B" w:rsidRPr="00CA6939">
        <w:rPr>
          <w:lang w:val="en-US"/>
        </w:rPr>
        <w:fldChar w:fldCharType="separate"/>
      </w:r>
      <w:r w:rsidR="00503208">
        <w:rPr>
          <w:lang w:val="en-US"/>
        </w:rPr>
        <w:t>[13]</w:t>
      </w:r>
      <w:r w:rsidR="00E52C3B" w:rsidRPr="00CA6939">
        <w:rPr>
          <w:lang w:val="en-US"/>
        </w:rPr>
        <w:fldChar w:fldCharType="end"/>
      </w:r>
      <w:r w:rsidR="00E52C3B" w:rsidRPr="00CA6939">
        <w:rPr>
          <w:lang w:val="en-US"/>
        </w:rPr>
        <w:t>.</w:t>
      </w:r>
      <w:r w:rsidR="00F21066">
        <w:rPr>
          <w:lang w:val="en-US"/>
        </w:rPr>
        <w:t xml:space="preserve"> Therefore, future research will be focused on various factors which may affect the level of corruption in the context of open data.</w:t>
      </w:r>
    </w:p>
    <w:p w:rsidR="000505F9" w:rsidRPr="00CA6939" w:rsidRDefault="000505F9" w:rsidP="00C84ACD">
      <w:pPr>
        <w:pStyle w:val="Nadpis2"/>
      </w:pPr>
      <w:r w:rsidRPr="00CA6939">
        <w:lastRenderedPageBreak/>
        <w:t>Conclusion</w:t>
      </w:r>
    </w:p>
    <w:p w:rsidR="001E2173" w:rsidRDefault="007C2FE6" w:rsidP="007C2FE6">
      <w:pPr>
        <w:rPr>
          <w:lang w:val="en-US"/>
        </w:rPr>
      </w:pPr>
      <w:r w:rsidRPr="00CA6939">
        <w:rPr>
          <w:lang w:val="en-US"/>
        </w:rPr>
        <w:t xml:space="preserve">This paper has contributed to the discussion of the potential effects of open data in reducing corruption. </w:t>
      </w:r>
      <w:r w:rsidR="00267F17" w:rsidRPr="00CA6939">
        <w:rPr>
          <w:lang w:val="en-US"/>
        </w:rPr>
        <w:t xml:space="preserve">Results presented in this paper suggest </w:t>
      </w:r>
      <w:r w:rsidR="001E2173">
        <w:rPr>
          <w:lang w:val="en-US"/>
        </w:rPr>
        <w:t xml:space="preserve">that </w:t>
      </w:r>
      <w:r w:rsidR="001E2173" w:rsidRPr="001E2173">
        <w:rPr>
          <w:lang w:val="en-US"/>
        </w:rPr>
        <w:t xml:space="preserve">there is a positive correlation relationship between selected corruption and open data indices. Thus, higher levels of open data availability are associated with lower levels of corruption in the compared countries, especially in the case of </w:t>
      </w:r>
      <w:r w:rsidR="001E2173">
        <w:rPr>
          <w:lang w:val="en-US"/>
        </w:rPr>
        <w:t>ODBI</w:t>
      </w:r>
      <w:r w:rsidR="00267F17" w:rsidRPr="00CA6939">
        <w:rPr>
          <w:lang w:val="en-US"/>
        </w:rPr>
        <w:t xml:space="preserve">. </w:t>
      </w:r>
      <w:r w:rsidR="00270395" w:rsidRPr="00CA6939">
        <w:rPr>
          <w:lang w:val="en-US"/>
        </w:rPr>
        <w:t xml:space="preserve">Open data may dramatically reduce the time and money citizens need to invest to understand what government is doing and to hold it to account. </w:t>
      </w:r>
      <w:r w:rsidR="001E2173">
        <w:rPr>
          <w:lang w:val="en-US"/>
        </w:rPr>
        <w:t xml:space="preserve"> For this purpose, o</w:t>
      </w:r>
      <w:r w:rsidR="001E2173" w:rsidRPr="001E2173">
        <w:rPr>
          <w:lang w:val="en-US"/>
        </w:rPr>
        <w:t>pen data portals are deployed by different levels of government</w:t>
      </w:r>
      <w:r w:rsidR="001E2173">
        <w:rPr>
          <w:lang w:val="en-US"/>
        </w:rPr>
        <w:t xml:space="preserve"> as</w:t>
      </w:r>
      <w:r w:rsidR="001E2173" w:rsidRPr="001E2173">
        <w:rPr>
          <w:lang w:val="en-US"/>
        </w:rPr>
        <w:t xml:space="preserve"> an important element of most open government initiatives. When coupled with emerging technologies such as social media, it is possible to foster collaboration, engagement, and particularly </w:t>
      </w:r>
      <w:r w:rsidR="001E2173">
        <w:rPr>
          <w:lang w:val="en-US"/>
        </w:rPr>
        <w:t>open data</w:t>
      </w:r>
      <w:r w:rsidR="001E2173" w:rsidRPr="001E2173">
        <w:rPr>
          <w:lang w:val="en-US"/>
        </w:rPr>
        <w:t xml:space="preserve"> reuse.</w:t>
      </w:r>
    </w:p>
    <w:p w:rsidR="00267F17" w:rsidRPr="00CA6939" w:rsidRDefault="00E52C3B" w:rsidP="007C2FE6">
      <w:pPr>
        <w:rPr>
          <w:lang w:val="en-US"/>
        </w:rPr>
      </w:pPr>
      <w:r w:rsidRPr="00CA6939">
        <w:rPr>
          <w:lang w:val="en-US"/>
        </w:rPr>
        <w:t xml:space="preserve">However, the ability of open data to </w:t>
      </w:r>
      <w:r w:rsidR="00DF5331" w:rsidRPr="00CA6939">
        <w:rPr>
          <w:lang w:val="en-US"/>
        </w:rPr>
        <w:t xml:space="preserve">potentially </w:t>
      </w:r>
      <w:r w:rsidRPr="00CA6939">
        <w:rPr>
          <w:lang w:val="en-US"/>
        </w:rPr>
        <w:t>decrease the level of corruption is limited t</w:t>
      </w:r>
      <w:r w:rsidR="001D6E61">
        <w:rPr>
          <w:lang w:val="en-US"/>
        </w:rPr>
        <w:t>o the willingness of government and its institutions</w:t>
      </w:r>
      <w:r w:rsidRPr="00CA6939">
        <w:rPr>
          <w:lang w:val="en-US"/>
        </w:rPr>
        <w:t xml:space="preserve"> to recognize the importance of the Open Government </w:t>
      </w:r>
      <w:r w:rsidR="00270395" w:rsidRPr="00CA6939">
        <w:rPr>
          <w:lang w:val="en-US"/>
        </w:rPr>
        <w:t xml:space="preserve">and open data </w:t>
      </w:r>
      <w:r w:rsidRPr="00CA6939">
        <w:rPr>
          <w:lang w:val="en-US"/>
        </w:rPr>
        <w:t>movement and adopt proactive initiatives that promote greater transparency</w:t>
      </w:r>
      <w:r w:rsidR="001E2173">
        <w:rPr>
          <w:lang w:val="en-US"/>
        </w:rPr>
        <w:t xml:space="preserve">, </w:t>
      </w:r>
      <w:r w:rsidR="001E2173" w:rsidRPr="00CA6939">
        <w:rPr>
          <w:lang w:val="en-US"/>
        </w:rPr>
        <w:t>openness</w:t>
      </w:r>
      <w:r w:rsidR="001E2173">
        <w:rPr>
          <w:lang w:val="en-US"/>
        </w:rPr>
        <w:t>,</w:t>
      </w:r>
      <w:r w:rsidR="001E2173" w:rsidRPr="00CA6939">
        <w:rPr>
          <w:lang w:val="en-US"/>
        </w:rPr>
        <w:t xml:space="preserve"> </w:t>
      </w:r>
      <w:r w:rsidR="001E2173">
        <w:rPr>
          <w:lang w:val="en-US"/>
        </w:rPr>
        <w:t>participation and collaboration</w:t>
      </w:r>
      <w:r w:rsidRPr="00CA6939">
        <w:rPr>
          <w:lang w:val="en-US"/>
        </w:rPr>
        <w:t xml:space="preserve"> </w:t>
      </w:r>
      <w:r w:rsidR="001D6E61">
        <w:rPr>
          <w:lang w:val="en-US"/>
        </w:rPr>
        <w:t xml:space="preserve">of involved stakeholders </w:t>
      </w:r>
      <w:r w:rsidRPr="00CA6939">
        <w:rPr>
          <w:lang w:val="en-US"/>
        </w:rPr>
        <w:t xml:space="preserve">with the aim to reduce corruption. </w:t>
      </w:r>
      <w:r w:rsidR="001D6E61">
        <w:rPr>
          <w:lang w:val="en-US"/>
        </w:rPr>
        <w:t xml:space="preserve">Some of the recommendations include to </w:t>
      </w:r>
      <w:r w:rsidR="001D6E61" w:rsidRPr="001D6E61">
        <w:rPr>
          <w:lang w:val="en-US"/>
        </w:rPr>
        <w:t xml:space="preserve">review and recalibrate information and data policies, particularly </w:t>
      </w:r>
      <w:r w:rsidR="001D6E61">
        <w:rPr>
          <w:lang w:val="en-US"/>
        </w:rPr>
        <w:t xml:space="preserve">security and </w:t>
      </w:r>
      <w:r w:rsidR="001D6E61" w:rsidRPr="001D6E61">
        <w:rPr>
          <w:lang w:val="en-US"/>
        </w:rPr>
        <w:t xml:space="preserve">privacy, data </w:t>
      </w:r>
      <w:r w:rsidR="001D6E61">
        <w:rPr>
          <w:lang w:val="en-US"/>
        </w:rPr>
        <w:t xml:space="preserve">discoverability, </w:t>
      </w:r>
      <w:r w:rsidR="001D6E61" w:rsidRPr="001D6E61">
        <w:rPr>
          <w:lang w:val="en-US"/>
        </w:rPr>
        <w:t>access</w:t>
      </w:r>
      <w:r w:rsidR="001D6E61">
        <w:rPr>
          <w:lang w:val="en-US"/>
        </w:rPr>
        <w:t xml:space="preserve"> and reuse</w:t>
      </w:r>
      <w:r w:rsidR="001D6E61" w:rsidRPr="001D6E61">
        <w:rPr>
          <w:lang w:val="en-US"/>
        </w:rPr>
        <w:t xml:space="preserve">; build </w:t>
      </w:r>
      <w:r w:rsidR="001D6E61">
        <w:rPr>
          <w:lang w:val="en-US"/>
        </w:rPr>
        <w:t>open data portal</w:t>
      </w:r>
      <w:r w:rsidR="001D6E61" w:rsidRPr="001D6E61">
        <w:rPr>
          <w:lang w:val="en-US"/>
        </w:rPr>
        <w:t xml:space="preserve"> and </w:t>
      </w:r>
      <w:r w:rsidR="001D6E61">
        <w:rPr>
          <w:lang w:val="en-US"/>
        </w:rPr>
        <w:t>data infrastructure</w:t>
      </w:r>
      <w:r w:rsidR="001D6E61" w:rsidRPr="001D6E61">
        <w:rPr>
          <w:lang w:val="en-US"/>
        </w:rPr>
        <w:t>; use data and metadata standards</w:t>
      </w:r>
      <w:r w:rsidR="001D6E61">
        <w:rPr>
          <w:lang w:val="en-US"/>
        </w:rPr>
        <w:t xml:space="preserve"> and licenses</w:t>
      </w:r>
      <w:r w:rsidR="001D6E61" w:rsidRPr="001D6E61">
        <w:rPr>
          <w:lang w:val="en-US"/>
        </w:rPr>
        <w:t xml:space="preserve">; and foster research and data communities. </w:t>
      </w:r>
      <w:r w:rsidR="001D6E61">
        <w:rPr>
          <w:lang w:val="en-US"/>
        </w:rPr>
        <w:t xml:space="preserve">Furthermore, </w:t>
      </w:r>
      <w:r w:rsidR="00DA567C">
        <w:rPr>
          <w:lang w:val="en-US"/>
        </w:rPr>
        <w:t>i</w:t>
      </w:r>
      <w:r w:rsidR="00267F17" w:rsidRPr="00CA6939">
        <w:rPr>
          <w:lang w:val="en-US"/>
        </w:rPr>
        <w:t>t was also found out that the methodology behind open data indices may affect the results, because it is still evolving due to the increasing effects of open data in the society.</w:t>
      </w:r>
      <w:r w:rsidR="00DA567C">
        <w:rPr>
          <w:lang w:val="en-US"/>
        </w:rPr>
        <w:t xml:space="preserve"> Therefore, this topic requires </w:t>
      </w:r>
      <w:r w:rsidR="00DA567C" w:rsidRPr="00DA567C">
        <w:rPr>
          <w:lang w:val="en-US"/>
        </w:rPr>
        <w:t>continuous</w:t>
      </w:r>
      <w:r w:rsidR="00DA567C">
        <w:rPr>
          <w:lang w:val="en-US"/>
        </w:rPr>
        <w:t xml:space="preserve"> research.</w:t>
      </w:r>
    </w:p>
    <w:p w:rsidR="000505F9" w:rsidRPr="00CA6939" w:rsidRDefault="00DF5331" w:rsidP="001E1703">
      <w:pPr>
        <w:rPr>
          <w:lang w:val="en-US"/>
        </w:rPr>
      </w:pPr>
      <w:r w:rsidRPr="00CA6939">
        <w:rPr>
          <w:lang w:val="en-US"/>
        </w:rPr>
        <w:t>Finally, g</w:t>
      </w:r>
      <w:r w:rsidR="006D6585" w:rsidRPr="00CA6939">
        <w:rPr>
          <w:lang w:val="en-US"/>
        </w:rPr>
        <w:t>overnments have also an opportunity to collaborate more with businesses and citizens in developing enhanced services, and to make effective use of new technologies such as cloud computing, Internet of Things (IoT), mobile internet and big data</w:t>
      </w:r>
      <w:r w:rsidRPr="00CA6939">
        <w:rPr>
          <w:lang w:val="en-US"/>
        </w:rPr>
        <w:t xml:space="preserve"> in the context of greater transparency</w:t>
      </w:r>
      <w:r w:rsidR="00DA567C">
        <w:rPr>
          <w:lang w:val="en-US"/>
        </w:rPr>
        <w:t xml:space="preserve"> and accountability</w:t>
      </w:r>
      <w:r w:rsidR="006D6585" w:rsidRPr="00CA6939">
        <w:rPr>
          <w:lang w:val="en-US"/>
        </w:rPr>
        <w:t>.</w:t>
      </w:r>
      <w:r w:rsidR="00267F17" w:rsidRPr="00CA6939">
        <w:rPr>
          <w:lang w:val="en-US"/>
        </w:rPr>
        <w:t xml:space="preserve"> </w:t>
      </w:r>
    </w:p>
    <w:p w:rsidR="0064026C" w:rsidRPr="00CA6939" w:rsidRDefault="0064026C" w:rsidP="00C84ACD">
      <w:pPr>
        <w:pStyle w:val="Nadpis2"/>
        <w:numPr>
          <w:ilvl w:val="0"/>
          <w:numId w:val="0"/>
        </w:numPr>
        <w:ind w:left="357" w:hanging="357"/>
      </w:pPr>
      <w:r w:rsidRPr="00CA6939">
        <w:t>References</w:t>
      </w:r>
    </w:p>
    <w:p w:rsidR="0080308C" w:rsidRDefault="003E397B" w:rsidP="0080308C">
      <w:pPr>
        <w:pStyle w:val="AP-Paragraph"/>
        <w:numPr>
          <w:ilvl w:val="0"/>
          <w:numId w:val="20"/>
        </w:numPr>
        <w:ind w:left="426" w:hanging="426"/>
      </w:pPr>
      <w:bookmarkStart w:id="0" w:name="_Ref458925528"/>
      <w:bookmarkStart w:id="1" w:name="_Ref458841861"/>
      <w:r w:rsidRPr="00CA6939">
        <w:t xml:space="preserve">GRÖNLUND, Å., FLYGARE, A. M. 2011. The Effect of eGovernment on Corruption: Measuring Robustness of Indexes. In Andersen, K. N, et al. (Eds): </w:t>
      </w:r>
      <w:r w:rsidRPr="00CA6939">
        <w:rPr>
          <w:i/>
        </w:rPr>
        <w:t>Electronic Government and the Information Systems Perspective</w:t>
      </w:r>
      <w:r w:rsidRPr="00CA6939">
        <w:t>. Berlin Heidelberg: Springer, pp. 235-248.</w:t>
      </w:r>
      <w:bookmarkStart w:id="2" w:name="_Ref458852388"/>
      <w:bookmarkEnd w:id="0"/>
    </w:p>
    <w:p w:rsidR="00716914" w:rsidRPr="00CA6939" w:rsidRDefault="00E33778" w:rsidP="0080308C">
      <w:pPr>
        <w:pStyle w:val="AP-Paragraph"/>
        <w:numPr>
          <w:ilvl w:val="0"/>
          <w:numId w:val="20"/>
        </w:numPr>
        <w:ind w:left="426" w:hanging="426"/>
      </w:pPr>
      <w:bookmarkStart w:id="3" w:name="_Ref465774446"/>
      <w:r w:rsidRPr="00CA6939">
        <w:t xml:space="preserve">JANSSEN, M., CHARALABIDIS Y., ZUIDERWIJK, A. 2012. Benefits, Adoption Barriers and Myths of Open Data and Open Government. </w:t>
      </w:r>
      <w:r w:rsidRPr="0080308C">
        <w:rPr>
          <w:i/>
        </w:rPr>
        <w:t>Information Systems Management</w:t>
      </w:r>
      <w:r w:rsidRPr="00CA6939">
        <w:t>; 29(4): 258-268.</w:t>
      </w:r>
      <w:bookmarkEnd w:id="1"/>
      <w:bookmarkEnd w:id="2"/>
      <w:bookmarkEnd w:id="3"/>
    </w:p>
    <w:p w:rsidR="00730672" w:rsidRPr="00CA6939" w:rsidRDefault="001F7C2A" w:rsidP="00730672">
      <w:pPr>
        <w:pStyle w:val="AP-Paragraph"/>
        <w:numPr>
          <w:ilvl w:val="0"/>
          <w:numId w:val="20"/>
        </w:numPr>
        <w:ind w:left="426" w:hanging="426"/>
      </w:pPr>
      <w:bookmarkStart w:id="4" w:name="_Ref458850668"/>
      <w:bookmarkStart w:id="5" w:name="_Ref458841851"/>
      <w:r>
        <w:t>KNĚZÁČKOVÁ, R., LINHARTOVÁ, V.</w:t>
      </w:r>
      <w:r w:rsidR="00730672" w:rsidRPr="00CA6939">
        <w:t xml:space="preserve"> 2013. Impact of e-government at the level of corruption. In </w:t>
      </w:r>
      <w:r w:rsidR="00730672" w:rsidRPr="00CA6939">
        <w:rPr>
          <w:i/>
        </w:rPr>
        <w:t>The 7th International Days of Statistics and Economics</w:t>
      </w:r>
      <w:r w:rsidR="00730672" w:rsidRPr="00CA6939">
        <w:t>. Slaný: Melandrium, pp. 621-630.</w:t>
      </w:r>
      <w:bookmarkEnd w:id="4"/>
    </w:p>
    <w:p w:rsidR="00730672" w:rsidRPr="00CA6939" w:rsidRDefault="00716914" w:rsidP="00730672">
      <w:pPr>
        <w:pStyle w:val="AP-Paragraph"/>
        <w:numPr>
          <w:ilvl w:val="0"/>
          <w:numId w:val="20"/>
        </w:numPr>
        <w:ind w:left="426" w:hanging="426"/>
      </w:pPr>
      <w:bookmarkStart w:id="6" w:name="_Ref458850994"/>
      <w:r w:rsidRPr="00CA6939">
        <w:t xml:space="preserve">LINDSTEDT, C., NAURIN, D. 2010. Transparency is not Enough: Making Transparency Effective in Reducing Corruption. </w:t>
      </w:r>
      <w:r w:rsidRPr="00CA6939">
        <w:rPr>
          <w:i/>
        </w:rPr>
        <w:t>International Political Science Review</w:t>
      </w:r>
      <w:r w:rsidRPr="00CA6939">
        <w:t>;</w:t>
      </w:r>
      <w:r w:rsidR="008F490E" w:rsidRPr="00CA6939">
        <w:t xml:space="preserve"> 31</w:t>
      </w:r>
      <w:r w:rsidRPr="00CA6939">
        <w:t>(3), 301-322.</w:t>
      </w:r>
      <w:bookmarkEnd w:id="5"/>
      <w:bookmarkEnd w:id="6"/>
    </w:p>
    <w:p w:rsidR="0080308C" w:rsidRDefault="00CA458B" w:rsidP="0080308C">
      <w:pPr>
        <w:pStyle w:val="AP-Paragraph"/>
        <w:numPr>
          <w:ilvl w:val="0"/>
          <w:numId w:val="20"/>
        </w:numPr>
        <w:ind w:left="426" w:hanging="426"/>
      </w:pPr>
      <w:bookmarkStart w:id="7" w:name="_Ref458850670"/>
      <w:r w:rsidRPr="00CA6939">
        <w:t xml:space="preserve">LUPU, D., LAZAR, C. G. 2015. Influence of </w:t>
      </w:r>
      <w:r w:rsidR="00DE7030" w:rsidRPr="00CA6939">
        <w:t xml:space="preserve">e-government on the level of corruption in some </w:t>
      </w:r>
      <w:r w:rsidRPr="00CA6939">
        <w:t xml:space="preserve">EU and non-EU States. </w:t>
      </w:r>
      <w:r w:rsidRPr="00CA6939">
        <w:rPr>
          <w:i/>
        </w:rPr>
        <w:t>Procedia Economics and Finance</w:t>
      </w:r>
      <w:r w:rsidR="00DE7030" w:rsidRPr="00CA6939">
        <w:t>; 20</w:t>
      </w:r>
      <w:r w:rsidRPr="00CA6939">
        <w:t>, 365-371.</w:t>
      </w:r>
      <w:bookmarkStart w:id="8" w:name="_Ref458841902"/>
      <w:bookmarkEnd w:id="7"/>
    </w:p>
    <w:p w:rsidR="0080308C" w:rsidRPr="0080308C" w:rsidRDefault="0080308C" w:rsidP="0080308C">
      <w:pPr>
        <w:pStyle w:val="AP-Paragraph"/>
        <w:numPr>
          <w:ilvl w:val="0"/>
          <w:numId w:val="20"/>
        </w:numPr>
        <w:ind w:left="426" w:hanging="426"/>
      </w:pPr>
      <w:bookmarkStart w:id="9" w:name="_Ref465774704"/>
      <w:r w:rsidRPr="0080308C">
        <w:t>MÁCHOVÁ</w:t>
      </w:r>
      <w:r>
        <w:t xml:space="preserve">, R., </w:t>
      </w:r>
      <w:r w:rsidRPr="0080308C">
        <w:t>LNĚNIČKA</w:t>
      </w:r>
      <w:r>
        <w:t>, M. 2015</w:t>
      </w:r>
      <w:r w:rsidRPr="0080308C">
        <w:t>. Reframing E-Government Development Indices wit</w:t>
      </w:r>
      <w:r>
        <w:t xml:space="preserve">h Respect to New Trends in ICT. </w:t>
      </w:r>
      <w:r w:rsidRPr="0080308C">
        <w:rPr>
          <w:i/>
        </w:rPr>
        <w:t>Review of Economic Perspectives</w:t>
      </w:r>
      <w:r>
        <w:t>;</w:t>
      </w:r>
      <w:r w:rsidRPr="0080308C">
        <w:t xml:space="preserve"> 15(4), 383-411.</w:t>
      </w:r>
      <w:bookmarkEnd w:id="9"/>
    </w:p>
    <w:p w:rsidR="00503208" w:rsidRDefault="00E913FF" w:rsidP="00503208">
      <w:pPr>
        <w:pStyle w:val="AP-Paragraph"/>
        <w:numPr>
          <w:ilvl w:val="0"/>
          <w:numId w:val="20"/>
        </w:numPr>
        <w:ind w:left="426" w:hanging="426"/>
      </w:pPr>
      <w:bookmarkStart w:id="10" w:name="_Ref465774375"/>
      <w:r w:rsidRPr="00CA6939">
        <w:t xml:space="preserve">MÁCHOVÁ, R., LNĚNIČKA, M. 2016. Exploring the Emerging Impacts of Open Data in the Public Sector. In Špalková, D., Matějová, L. (Eds): </w:t>
      </w:r>
      <w:r w:rsidRPr="0080308C">
        <w:rPr>
          <w:i/>
        </w:rPr>
        <w:t>Proceedings of the 20th International Conference Current Trends in Public Sector Research</w:t>
      </w:r>
      <w:r w:rsidRPr="00CA6939">
        <w:t>. Brno: Masaryk University, pp. 36-44.</w:t>
      </w:r>
      <w:bookmarkStart w:id="11" w:name="_Ref458848708"/>
      <w:bookmarkEnd w:id="8"/>
      <w:bookmarkEnd w:id="10"/>
    </w:p>
    <w:p w:rsidR="00503208" w:rsidRPr="00503208" w:rsidRDefault="00503208" w:rsidP="00503208">
      <w:pPr>
        <w:pStyle w:val="AP-Paragraph"/>
        <w:numPr>
          <w:ilvl w:val="0"/>
          <w:numId w:val="20"/>
        </w:numPr>
        <w:ind w:left="426" w:hanging="426"/>
      </w:pPr>
      <w:bookmarkStart w:id="12" w:name="_Ref465778578"/>
      <w:r w:rsidRPr="00503208">
        <w:t xml:space="preserve">MÁCHOVÁ, R., LNĚNIČKA, M. </w:t>
      </w:r>
      <w:r>
        <w:t xml:space="preserve">2017. </w:t>
      </w:r>
      <w:r w:rsidRPr="00503208">
        <w:t>Evaluating the Quality of Open Data</w:t>
      </w:r>
      <w:r>
        <w:t xml:space="preserve"> Portals on the National Level. </w:t>
      </w:r>
      <w:r w:rsidRPr="00503208">
        <w:rPr>
          <w:i/>
        </w:rPr>
        <w:t>Journal of Theoretical and Applied Electronic Commerce Research</w:t>
      </w:r>
      <w:r>
        <w:t>;</w:t>
      </w:r>
      <w:r w:rsidRPr="00503208">
        <w:t xml:space="preserve"> </w:t>
      </w:r>
      <w:r>
        <w:t>12(</w:t>
      </w:r>
      <w:r w:rsidRPr="00503208">
        <w:t>1</w:t>
      </w:r>
      <w:r>
        <w:t xml:space="preserve">), </w:t>
      </w:r>
      <w:r w:rsidRPr="00503208">
        <w:t>21-41.</w:t>
      </w:r>
      <w:bookmarkEnd w:id="12"/>
    </w:p>
    <w:p w:rsidR="008F490E" w:rsidRPr="00CA6939" w:rsidRDefault="008F490E" w:rsidP="008F490E">
      <w:pPr>
        <w:pStyle w:val="AP-Paragraph"/>
        <w:numPr>
          <w:ilvl w:val="0"/>
          <w:numId w:val="20"/>
        </w:numPr>
        <w:ind w:left="426" w:hanging="426"/>
      </w:pPr>
      <w:bookmarkStart w:id="13" w:name="_Ref459283970"/>
      <w:r w:rsidRPr="00CA6939">
        <w:t xml:space="preserve">MISTRY, J. J., JALAL, A. 2012. An Empirical Analysis of the Relationship between E-government and Corruption. </w:t>
      </w:r>
      <w:r w:rsidRPr="00CA6939">
        <w:rPr>
          <w:i/>
        </w:rPr>
        <w:t>The International Journal of Digital Accounting Research</w:t>
      </w:r>
      <w:r w:rsidRPr="00CA6939">
        <w:t>; 12, 145-176.</w:t>
      </w:r>
      <w:bookmarkEnd w:id="13"/>
    </w:p>
    <w:p w:rsidR="00B15ADC" w:rsidRPr="00CA6939" w:rsidRDefault="00182765" w:rsidP="00B15ADC">
      <w:pPr>
        <w:pStyle w:val="AP-Paragraph"/>
        <w:numPr>
          <w:ilvl w:val="0"/>
          <w:numId w:val="20"/>
        </w:numPr>
        <w:ind w:left="426" w:hanging="426"/>
      </w:pPr>
      <w:bookmarkStart w:id="14" w:name="_Ref459186696"/>
      <w:r w:rsidRPr="00CA6939">
        <w:lastRenderedPageBreak/>
        <w:t xml:space="preserve">NARDO, M. et al. 2008. </w:t>
      </w:r>
      <w:r w:rsidRPr="00CA6939">
        <w:rPr>
          <w:i/>
        </w:rPr>
        <w:t>Handbook on Constructing Composite Indicators: Methodology and user Guide</w:t>
      </w:r>
      <w:r w:rsidRPr="00CA6939">
        <w:t>. Paris: OECD Publishing.</w:t>
      </w:r>
      <w:bookmarkEnd w:id="14"/>
    </w:p>
    <w:p w:rsidR="00795C64" w:rsidRPr="00CA6939" w:rsidRDefault="00B15ADC" w:rsidP="00795C64">
      <w:pPr>
        <w:pStyle w:val="AP-Paragraph"/>
        <w:numPr>
          <w:ilvl w:val="0"/>
          <w:numId w:val="20"/>
        </w:numPr>
        <w:ind w:left="426" w:hanging="426"/>
      </w:pPr>
      <w:bookmarkStart w:id="15" w:name="_Ref459279143"/>
      <w:r w:rsidRPr="00CA6939">
        <w:t xml:space="preserve">RAJSHREE, N., SRIVASTAVA, B. 2012. Open Government Data for Tackling Corruption – A Perspective. In </w:t>
      </w:r>
      <w:r w:rsidRPr="00CA6939">
        <w:rPr>
          <w:i/>
        </w:rPr>
        <w:t>Workshops at the Twenty-Sixth AAAI Conference on Artificial Intelligence</w:t>
      </w:r>
      <w:r w:rsidRPr="00CA6939">
        <w:t>. Palo Alto: AAAI Press, pp. 21-24.</w:t>
      </w:r>
      <w:bookmarkEnd w:id="15"/>
    </w:p>
    <w:p w:rsidR="00795C64" w:rsidRPr="00CA6939" w:rsidRDefault="00795C64" w:rsidP="00795C64">
      <w:pPr>
        <w:pStyle w:val="AP-Paragraph"/>
        <w:numPr>
          <w:ilvl w:val="0"/>
          <w:numId w:val="20"/>
        </w:numPr>
        <w:ind w:left="426" w:hanging="426"/>
      </w:pPr>
      <w:bookmarkStart w:id="16" w:name="_Ref459454316"/>
      <w:r w:rsidRPr="00CA6939">
        <w:t xml:space="preserve">SHIM, D. C., EOM, T. H. 2008. </w:t>
      </w:r>
      <w:r w:rsidR="006E6779" w:rsidRPr="00CA6939">
        <w:t>E-government and Anti-Corruption: Empirical Analysis of International D</w:t>
      </w:r>
      <w:r w:rsidRPr="00CA6939">
        <w:t xml:space="preserve">ata. </w:t>
      </w:r>
      <w:r w:rsidR="006E6779" w:rsidRPr="00CA6939">
        <w:rPr>
          <w:i/>
        </w:rPr>
        <w:t>International</w:t>
      </w:r>
      <w:r w:rsidRPr="00CA6939">
        <w:rPr>
          <w:i/>
        </w:rPr>
        <w:t xml:space="preserve"> Journal of Public Administration</w:t>
      </w:r>
      <w:r w:rsidR="006E6779" w:rsidRPr="00CA6939">
        <w:t>;</w:t>
      </w:r>
      <w:r w:rsidRPr="00CA6939">
        <w:t xml:space="preserve"> </w:t>
      </w:r>
      <w:r w:rsidR="006E6779" w:rsidRPr="00CA6939">
        <w:t>31(3),</w:t>
      </w:r>
      <w:r w:rsidRPr="00CA6939">
        <w:t xml:space="preserve"> 298-316.</w:t>
      </w:r>
      <w:bookmarkEnd w:id="16"/>
    </w:p>
    <w:p w:rsidR="00571630" w:rsidRPr="00CA6939" w:rsidRDefault="00571630" w:rsidP="00571630">
      <w:pPr>
        <w:pStyle w:val="AP-Paragraph"/>
        <w:numPr>
          <w:ilvl w:val="0"/>
          <w:numId w:val="20"/>
        </w:numPr>
        <w:ind w:left="426" w:hanging="426"/>
      </w:pPr>
      <w:bookmarkStart w:id="17" w:name="_Ref458929579"/>
      <w:r w:rsidRPr="00CA6939">
        <w:t xml:space="preserve">UNITED NATIONS. 2016. </w:t>
      </w:r>
      <w:r w:rsidRPr="00CA6939">
        <w:rPr>
          <w:i/>
        </w:rPr>
        <w:t>United Nations e-Government Survey 2016: E-Government in Support of Sustainable Development</w:t>
      </w:r>
      <w:r w:rsidRPr="00CA6939">
        <w:t>. New York: UN Publishing Section.</w:t>
      </w:r>
      <w:bookmarkEnd w:id="17"/>
    </w:p>
    <w:p w:rsidR="001E1703" w:rsidRDefault="00E33778" w:rsidP="00BE50B2">
      <w:pPr>
        <w:pStyle w:val="AP-Paragraph"/>
        <w:numPr>
          <w:ilvl w:val="0"/>
          <w:numId w:val="20"/>
        </w:numPr>
        <w:ind w:left="426" w:hanging="426"/>
      </w:pPr>
      <w:bookmarkStart w:id="18" w:name="_Ref458926842"/>
      <w:r w:rsidRPr="00CA6939">
        <w:t xml:space="preserve">ZUIDERWIJK, A., et al. 2015. Open Data Disclosure and Use: Critical Factors From a Case Study. In </w:t>
      </w:r>
      <w:r w:rsidRPr="00CA6939">
        <w:rPr>
          <w:i/>
        </w:rPr>
        <w:t>Proceedings of the International Conference for E-Democracy and Open Government (CeDEM15)</w:t>
      </w:r>
      <w:r w:rsidRPr="00CA6939">
        <w:t>. Krems: Universität Krems, pp. 197-208</w:t>
      </w:r>
      <w:bookmarkEnd w:id="11"/>
      <w:r w:rsidR="003E397B" w:rsidRPr="00CA6939">
        <w:t>.</w:t>
      </w:r>
      <w:bookmarkEnd w:id="18"/>
    </w:p>
    <w:p w:rsidR="008A2F9D" w:rsidRPr="004114E9" w:rsidRDefault="008A2F9D" w:rsidP="0070621F">
      <w:pPr>
        <w:ind w:firstLine="0"/>
        <w:rPr>
          <w:i/>
          <w:szCs w:val="22"/>
          <w:lang w:val="en-US" w:eastAsia="ar-SA"/>
        </w:rPr>
      </w:pPr>
      <w:bookmarkStart w:id="19" w:name="_GoBack"/>
      <w:bookmarkEnd w:id="19"/>
    </w:p>
    <w:sectPr w:rsidR="008A2F9D" w:rsidRPr="004114E9" w:rsidSect="007D4A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EA6" w:rsidRDefault="00737EA6" w:rsidP="00A874FB">
      <w:r>
        <w:separator/>
      </w:r>
    </w:p>
  </w:endnote>
  <w:endnote w:type="continuationSeparator" w:id="0">
    <w:p w:rsidR="00737EA6" w:rsidRDefault="00737EA6" w:rsidP="00A8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EA6" w:rsidRDefault="00737EA6" w:rsidP="00A874FB">
      <w:r>
        <w:separator/>
      </w:r>
    </w:p>
  </w:footnote>
  <w:footnote w:type="continuationSeparator" w:id="0">
    <w:p w:rsidR="00737EA6" w:rsidRDefault="00737EA6" w:rsidP="00A87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C43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D046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34A6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DE5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F47B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D471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AEC5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62DE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D6E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EADF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07E06"/>
    <w:multiLevelType w:val="hybridMultilevel"/>
    <w:tmpl w:val="85CECE72"/>
    <w:lvl w:ilvl="0" w:tplc="352E8248">
      <w:start w:val="1"/>
      <w:numFmt w:val="decimal"/>
      <w:lvlText w:val="%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07E2292F"/>
    <w:multiLevelType w:val="hybridMultilevel"/>
    <w:tmpl w:val="D714AECC"/>
    <w:lvl w:ilvl="0" w:tplc="90BE4B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3" w15:restartNumberingAfterBreak="0">
    <w:nsid w:val="44B2268B"/>
    <w:multiLevelType w:val="hybridMultilevel"/>
    <w:tmpl w:val="D714AECC"/>
    <w:lvl w:ilvl="0" w:tplc="90BE4B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FE0915"/>
    <w:multiLevelType w:val="multilevel"/>
    <w:tmpl w:val="10284DAC"/>
    <w:lvl w:ilvl="0">
      <w:start w:val="1"/>
      <w:numFmt w:val="decimal"/>
      <w:lvlText w:val="%1"/>
      <w:lvlJc w:val="left"/>
      <w:pPr>
        <w:ind w:left="357" w:hanging="35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3"/>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5" w15:restartNumberingAfterBreak="0">
    <w:nsid w:val="548A7BE5"/>
    <w:multiLevelType w:val="hybridMultilevel"/>
    <w:tmpl w:val="C02CF4A8"/>
    <w:lvl w:ilvl="0" w:tplc="85082856">
      <w:start w:val="1"/>
      <w:numFmt w:val="decimal"/>
      <w:pStyle w:val="Nadpis2"/>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5155CEA"/>
    <w:multiLevelType w:val="hybridMultilevel"/>
    <w:tmpl w:val="8110BEA0"/>
    <w:lvl w:ilvl="0" w:tplc="27A41066">
      <w:start w:val="2"/>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9A7229F"/>
    <w:multiLevelType w:val="hybridMultilevel"/>
    <w:tmpl w:val="BF0CE9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D534554"/>
    <w:multiLevelType w:val="hybridMultilevel"/>
    <w:tmpl w:val="CA76C2B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766149B8"/>
    <w:multiLevelType w:val="multilevel"/>
    <w:tmpl w:val="F4805B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18"/>
  </w:num>
  <w:num w:numId="15">
    <w:abstractNumId w:val="17"/>
  </w:num>
  <w:num w:numId="16">
    <w:abstractNumId w:val="10"/>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3"/>
  </w:num>
  <w:num w:numId="21">
    <w:abstractNumId w:val="11"/>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4B"/>
    <w:rsid w:val="0000748D"/>
    <w:rsid w:val="000139B1"/>
    <w:rsid w:val="00033F28"/>
    <w:rsid w:val="000352B3"/>
    <w:rsid w:val="0003657C"/>
    <w:rsid w:val="000421BE"/>
    <w:rsid w:val="000505F9"/>
    <w:rsid w:val="000522CB"/>
    <w:rsid w:val="00063CF5"/>
    <w:rsid w:val="000648A4"/>
    <w:rsid w:val="000667B5"/>
    <w:rsid w:val="00072795"/>
    <w:rsid w:val="000742EA"/>
    <w:rsid w:val="000918C2"/>
    <w:rsid w:val="000B2E2F"/>
    <w:rsid w:val="000D259C"/>
    <w:rsid w:val="000E28F2"/>
    <w:rsid w:val="000F147F"/>
    <w:rsid w:val="000F6DCA"/>
    <w:rsid w:val="00106C5B"/>
    <w:rsid w:val="001131EC"/>
    <w:rsid w:val="00114A5B"/>
    <w:rsid w:val="0012249A"/>
    <w:rsid w:val="0013174C"/>
    <w:rsid w:val="00137D56"/>
    <w:rsid w:val="00141550"/>
    <w:rsid w:val="00154F28"/>
    <w:rsid w:val="00165547"/>
    <w:rsid w:val="00175905"/>
    <w:rsid w:val="001824A3"/>
    <w:rsid w:val="00182765"/>
    <w:rsid w:val="00191C05"/>
    <w:rsid w:val="001D0B5E"/>
    <w:rsid w:val="001D6E61"/>
    <w:rsid w:val="001E0CF1"/>
    <w:rsid w:val="001E1703"/>
    <w:rsid w:val="001E1BD0"/>
    <w:rsid w:val="001E2173"/>
    <w:rsid w:val="001E4C36"/>
    <w:rsid w:val="001F7C2A"/>
    <w:rsid w:val="00200BE3"/>
    <w:rsid w:val="00204969"/>
    <w:rsid w:val="00211B14"/>
    <w:rsid w:val="002251A6"/>
    <w:rsid w:val="002253BC"/>
    <w:rsid w:val="0023404B"/>
    <w:rsid w:val="0023431E"/>
    <w:rsid w:val="00236805"/>
    <w:rsid w:val="00267F17"/>
    <w:rsid w:val="00270395"/>
    <w:rsid w:val="00286333"/>
    <w:rsid w:val="00291A3E"/>
    <w:rsid w:val="0029571E"/>
    <w:rsid w:val="0029731A"/>
    <w:rsid w:val="002B1E88"/>
    <w:rsid w:val="002C16C5"/>
    <w:rsid w:val="002D6F8D"/>
    <w:rsid w:val="003006C5"/>
    <w:rsid w:val="00307E4E"/>
    <w:rsid w:val="00321A35"/>
    <w:rsid w:val="00327EA9"/>
    <w:rsid w:val="00336387"/>
    <w:rsid w:val="003365C9"/>
    <w:rsid w:val="0034380A"/>
    <w:rsid w:val="00353B39"/>
    <w:rsid w:val="00374A97"/>
    <w:rsid w:val="003752B5"/>
    <w:rsid w:val="00385134"/>
    <w:rsid w:val="00390FCF"/>
    <w:rsid w:val="00391780"/>
    <w:rsid w:val="00392DA2"/>
    <w:rsid w:val="003A661C"/>
    <w:rsid w:val="003B55D1"/>
    <w:rsid w:val="003C7150"/>
    <w:rsid w:val="003C7755"/>
    <w:rsid w:val="003E397B"/>
    <w:rsid w:val="003F0DDA"/>
    <w:rsid w:val="003F448A"/>
    <w:rsid w:val="003F79A6"/>
    <w:rsid w:val="004114E9"/>
    <w:rsid w:val="004142A6"/>
    <w:rsid w:val="00414704"/>
    <w:rsid w:val="00424A7F"/>
    <w:rsid w:val="004505A2"/>
    <w:rsid w:val="00455473"/>
    <w:rsid w:val="0046054B"/>
    <w:rsid w:val="004640BD"/>
    <w:rsid w:val="00471C4F"/>
    <w:rsid w:val="00474220"/>
    <w:rsid w:val="0048354E"/>
    <w:rsid w:val="00486F3F"/>
    <w:rsid w:val="00487C7F"/>
    <w:rsid w:val="00492718"/>
    <w:rsid w:val="004964BC"/>
    <w:rsid w:val="004A14BF"/>
    <w:rsid w:val="004B71B5"/>
    <w:rsid w:val="004B7DE8"/>
    <w:rsid w:val="004C3060"/>
    <w:rsid w:val="004E0C64"/>
    <w:rsid w:val="004E7EB1"/>
    <w:rsid w:val="004F5A5C"/>
    <w:rsid w:val="0050227B"/>
    <w:rsid w:val="00503208"/>
    <w:rsid w:val="00510555"/>
    <w:rsid w:val="0051617C"/>
    <w:rsid w:val="00521B2B"/>
    <w:rsid w:val="00525060"/>
    <w:rsid w:val="00525328"/>
    <w:rsid w:val="0053228B"/>
    <w:rsid w:val="00552BE5"/>
    <w:rsid w:val="00554F08"/>
    <w:rsid w:val="005646CA"/>
    <w:rsid w:val="00571630"/>
    <w:rsid w:val="0059112A"/>
    <w:rsid w:val="005B2987"/>
    <w:rsid w:val="005B2B02"/>
    <w:rsid w:val="005B60A9"/>
    <w:rsid w:val="005D05E4"/>
    <w:rsid w:val="005D4EE1"/>
    <w:rsid w:val="005E48D4"/>
    <w:rsid w:val="005E51A4"/>
    <w:rsid w:val="005E6B43"/>
    <w:rsid w:val="005E7B5C"/>
    <w:rsid w:val="00606CDB"/>
    <w:rsid w:val="00607FF4"/>
    <w:rsid w:val="00615F18"/>
    <w:rsid w:val="00621611"/>
    <w:rsid w:val="00637D82"/>
    <w:rsid w:val="0064026C"/>
    <w:rsid w:val="00651518"/>
    <w:rsid w:val="00657D5D"/>
    <w:rsid w:val="006648BB"/>
    <w:rsid w:val="00666AE2"/>
    <w:rsid w:val="006704BB"/>
    <w:rsid w:val="006761C9"/>
    <w:rsid w:val="00677625"/>
    <w:rsid w:val="0069676D"/>
    <w:rsid w:val="006A1179"/>
    <w:rsid w:val="006A2126"/>
    <w:rsid w:val="006C523D"/>
    <w:rsid w:val="006C65AB"/>
    <w:rsid w:val="006D6585"/>
    <w:rsid w:val="006E19E3"/>
    <w:rsid w:val="006E6779"/>
    <w:rsid w:val="006F2253"/>
    <w:rsid w:val="0070621F"/>
    <w:rsid w:val="00716914"/>
    <w:rsid w:val="00717F64"/>
    <w:rsid w:val="00727FCE"/>
    <w:rsid w:val="00730672"/>
    <w:rsid w:val="00730675"/>
    <w:rsid w:val="00731BC6"/>
    <w:rsid w:val="007371DB"/>
    <w:rsid w:val="00737EA6"/>
    <w:rsid w:val="00743EF0"/>
    <w:rsid w:val="0075356A"/>
    <w:rsid w:val="007542B4"/>
    <w:rsid w:val="00795C64"/>
    <w:rsid w:val="007A209B"/>
    <w:rsid w:val="007C2FE6"/>
    <w:rsid w:val="007D1BF4"/>
    <w:rsid w:val="007D4AB8"/>
    <w:rsid w:val="007F2A50"/>
    <w:rsid w:val="0080308C"/>
    <w:rsid w:val="00825D2B"/>
    <w:rsid w:val="0083221E"/>
    <w:rsid w:val="00835D30"/>
    <w:rsid w:val="00842408"/>
    <w:rsid w:val="00844C64"/>
    <w:rsid w:val="00861459"/>
    <w:rsid w:val="00862FBF"/>
    <w:rsid w:val="0086309B"/>
    <w:rsid w:val="008667AB"/>
    <w:rsid w:val="00874BEC"/>
    <w:rsid w:val="00876806"/>
    <w:rsid w:val="00887677"/>
    <w:rsid w:val="008938DB"/>
    <w:rsid w:val="008968B4"/>
    <w:rsid w:val="008A2F9D"/>
    <w:rsid w:val="008B0389"/>
    <w:rsid w:val="008B1D84"/>
    <w:rsid w:val="008B2875"/>
    <w:rsid w:val="008D258A"/>
    <w:rsid w:val="008D29A2"/>
    <w:rsid w:val="008F490E"/>
    <w:rsid w:val="008F5F2B"/>
    <w:rsid w:val="008F71A2"/>
    <w:rsid w:val="00901EAD"/>
    <w:rsid w:val="0090549C"/>
    <w:rsid w:val="00905AE1"/>
    <w:rsid w:val="00912F89"/>
    <w:rsid w:val="00926B99"/>
    <w:rsid w:val="0093337D"/>
    <w:rsid w:val="009467FD"/>
    <w:rsid w:val="00953CEC"/>
    <w:rsid w:val="00980527"/>
    <w:rsid w:val="009828DF"/>
    <w:rsid w:val="009853CA"/>
    <w:rsid w:val="00985698"/>
    <w:rsid w:val="00987355"/>
    <w:rsid w:val="00994065"/>
    <w:rsid w:val="0099461B"/>
    <w:rsid w:val="00994841"/>
    <w:rsid w:val="009A0C98"/>
    <w:rsid w:val="009B1541"/>
    <w:rsid w:val="009C0E1B"/>
    <w:rsid w:val="009C1121"/>
    <w:rsid w:val="009D1E44"/>
    <w:rsid w:val="009D1FF5"/>
    <w:rsid w:val="009E0812"/>
    <w:rsid w:val="009E24C3"/>
    <w:rsid w:val="009E618F"/>
    <w:rsid w:val="009F0757"/>
    <w:rsid w:val="00A000EF"/>
    <w:rsid w:val="00A0170A"/>
    <w:rsid w:val="00A01C7E"/>
    <w:rsid w:val="00A039BA"/>
    <w:rsid w:val="00A669EF"/>
    <w:rsid w:val="00A67FFA"/>
    <w:rsid w:val="00A73289"/>
    <w:rsid w:val="00A7584C"/>
    <w:rsid w:val="00A85228"/>
    <w:rsid w:val="00A874FB"/>
    <w:rsid w:val="00A958C7"/>
    <w:rsid w:val="00AA0C02"/>
    <w:rsid w:val="00AA4676"/>
    <w:rsid w:val="00AB3BFC"/>
    <w:rsid w:val="00AC2433"/>
    <w:rsid w:val="00AE32C3"/>
    <w:rsid w:val="00AE70D1"/>
    <w:rsid w:val="00AF03B2"/>
    <w:rsid w:val="00B0127F"/>
    <w:rsid w:val="00B15ADC"/>
    <w:rsid w:val="00B30CDF"/>
    <w:rsid w:val="00B35873"/>
    <w:rsid w:val="00B37709"/>
    <w:rsid w:val="00B424AD"/>
    <w:rsid w:val="00B4619B"/>
    <w:rsid w:val="00B5026E"/>
    <w:rsid w:val="00B63A03"/>
    <w:rsid w:val="00B76426"/>
    <w:rsid w:val="00B8624D"/>
    <w:rsid w:val="00B923BA"/>
    <w:rsid w:val="00B92631"/>
    <w:rsid w:val="00BA4705"/>
    <w:rsid w:val="00BC1DB5"/>
    <w:rsid w:val="00BC1F75"/>
    <w:rsid w:val="00BD789D"/>
    <w:rsid w:val="00BE50B2"/>
    <w:rsid w:val="00BF2D7C"/>
    <w:rsid w:val="00BF3D18"/>
    <w:rsid w:val="00BF5500"/>
    <w:rsid w:val="00C06C73"/>
    <w:rsid w:val="00C127A7"/>
    <w:rsid w:val="00C14E5F"/>
    <w:rsid w:val="00C31D06"/>
    <w:rsid w:val="00C3364C"/>
    <w:rsid w:val="00C5389F"/>
    <w:rsid w:val="00C56E47"/>
    <w:rsid w:val="00C57531"/>
    <w:rsid w:val="00C57C9E"/>
    <w:rsid w:val="00C61C7C"/>
    <w:rsid w:val="00C62E59"/>
    <w:rsid w:val="00C65FE9"/>
    <w:rsid w:val="00C75548"/>
    <w:rsid w:val="00C84ACD"/>
    <w:rsid w:val="00C9049A"/>
    <w:rsid w:val="00C9491F"/>
    <w:rsid w:val="00CA458B"/>
    <w:rsid w:val="00CA6939"/>
    <w:rsid w:val="00CB1466"/>
    <w:rsid w:val="00CB1814"/>
    <w:rsid w:val="00CB72CD"/>
    <w:rsid w:val="00CB7C1D"/>
    <w:rsid w:val="00CC6A91"/>
    <w:rsid w:val="00CC7048"/>
    <w:rsid w:val="00CD1C3B"/>
    <w:rsid w:val="00CD1D29"/>
    <w:rsid w:val="00CE0399"/>
    <w:rsid w:val="00CE14B0"/>
    <w:rsid w:val="00CE4B0A"/>
    <w:rsid w:val="00CF5AD2"/>
    <w:rsid w:val="00D12FC6"/>
    <w:rsid w:val="00D175A0"/>
    <w:rsid w:val="00D2062B"/>
    <w:rsid w:val="00D26C59"/>
    <w:rsid w:val="00D33E63"/>
    <w:rsid w:val="00D358AC"/>
    <w:rsid w:val="00D36729"/>
    <w:rsid w:val="00D43B2D"/>
    <w:rsid w:val="00D440E3"/>
    <w:rsid w:val="00D4478F"/>
    <w:rsid w:val="00D628B3"/>
    <w:rsid w:val="00D62CAD"/>
    <w:rsid w:val="00D72955"/>
    <w:rsid w:val="00D7401F"/>
    <w:rsid w:val="00D770C7"/>
    <w:rsid w:val="00D80462"/>
    <w:rsid w:val="00D94506"/>
    <w:rsid w:val="00DA1981"/>
    <w:rsid w:val="00DA2DD2"/>
    <w:rsid w:val="00DA49A2"/>
    <w:rsid w:val="00DA4E29"/>
    <w:rsid w:val="00DA567C"/>
    <w:rsid w:val="00DA7F4B"/>
    <w:rsid w:val="00DB01BE"/>
    <w:rsid w:val="00DB34A8"/>
    <w:rsid w:val="00DC0CF9"/>
    <w:rsid w:val="00DC3BA0"/>
    <w:rsid w:val="00DE6439"/>
    <w:rsid w:val="00DE7030"/>
    <w:rsid w:val="00DF31CF"/>
    <w:rsid w:val="00DF5331"/>
    <w:rsid w:val="00DF6725"/>
    <w:rsid w:val="00E12734"/>
    <w:rsid w:val="00E33778"/>
    <w:rsid w:val="00E51640"/>
    <w:rsid w:val="00E51789"/>
    <w:rsid w:val="00E52C3B"/>
    <w:rsid w:val="00E66DED"/>
    <w:rsid w:val="00E7576B"/>
    <w:rsid w:val="00E7632B"/>
    <w:rsid w:val="00E81EEF"/>
    <w:rsid w:val="00E827EC"/>
    <w:rsid w:val="00E83ED6"/>
    <w:rsid w:val="00E913FF"/>
    <w:rsid w:val="00E945FB"/>
    <w:rsid w:val="00EB1D06"/>
    <w:rsid w:val="00EC3586"/>
    <w:rsid w:val="00ED1C69"/>
    <w:rsid w:val="00ED2356"/>
    <w:rsid w:val="00EE7DFB"/>
    <w:rsid w:val="00EF220F"/>
    <w:rsid w:val="00F051D9"/>
    <w:rsid w:val="00F07ED1"/>
    <w:rsid w:val="00F171A8"/>
    <w:rsid w:val="00F2098C"/>
    <w:rsid w:val="00F21066"/>
    <w:rsid w:val="00F23DAD"/>
    <w:rsid w:val="00F344B8"/>
    <w:rsid w:val="00F35BF7"/>
    <w:rsid w:val="00F36E44"/>
    <w:rsid w:val="00F81E68"/>
    <w:rsid w:val="00F832EE"/>
    <w:rsid w:val="00F9455E"/>
    <w:rsid w:val="00F95978"/>
    <w:rsid w:val="00FA3519"/>
    <w:rsid w:val="00FA4A6D"/>
    <w:rsid w:val="00FB02EA"/>
    <w:rsid w:val="00FB115F"/>
    <w:rsid w:val="00FB6AE7"/>
    <w:rsid w:val="00FC032B"/>
    <w:rsid w:val="00FC5B33"/>
    <w:rsid w:val="00FD2FE9"/>
    <w:rsid w:val="00FE059A"/>
    <w:rsid w:val="00FE0A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AE8E"/>
  <w15:docId w15:val="{9ACBFC63-AD31-4AF1-93C3-ED9A0CC6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uiPriority="9"/>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
    <w:qFormat/>
    <w:rsid w:val="00CC6A91"/>
    <w:pPr>
      <w:ind w:firstLine="567"/>
      <w:jc w:val="both"/>
    </w:pPr>
    <w:rPr>
      <w:rFonts w:ascii="Cambria" w:eastAsia="Times New Roman" w:hAnsi="Cambria"/>
      <w:sz w:val="22"/>
      <w:szCs w:val="24"/>
    </w:rPr>
  </w:style>
  <w:style w:type="paragraph" w:styleId="Nadpis1">
    <w:name w:val="heading 1"/>
    <w:aliases w:val="Title 1"/>
    <w:basedOn w:val="Normln"/>
    <w:next w:val="Normln"/>
    <w:link w:val="Nadpis1Char"/>
    <w:uiPriority w:val="9"/>
    <w:qFormat/>
    <w:rsid w:val="009828DF"/>
    <w:pPr>
      <w:keepNext/>
      <w:spacing w:before="240" w:after="240"/>
      <w:jc w:val="center"/>
      <w:outlineLvl w:val="0"/>
    </w:pPr>
    <w:rPr>
      <w:rFonts w:ascii="Arial" w:hAnsi="Arial"/>
      <w:b/>
      <w:bCs/>
      <w:kern w:val="32"/>
      <w:sz w:val="28"/>
      <w:szCs w:val="32"/>
    </w:rPr>
  </w:style>
  <w:style w:type="paragraph" w:styleId="Nadpis2">
    <w:name w:val="heading 2"/>
    <w:aliases w:val="Title 2"/>
    <w:basedOn w:val="Normln"/>
    <w:next w:val="Normln"/>
    <w:link w:val="Nadpis2Char"/>
    <w:uiPriority w:val="9"/>
    <w:unhideWhenUsed/>
    <w:qFormat/>
    <w:rsid w:val="00C84ACD"/>
    <w:pPr>
      <w:keepNext/>
      <w:numPr>
        <w:numId w:val="23"/>
      </w:numPr>
      <w:spacing w:before="400" w:after="240"/>
      <w:ind w:left="357" w:hanging="357"/>
      <w:jc w:val="left"/>
      <w:outlineLvl w:val="1"/>
    </w:pPr>
    <w:rPr>
      <w:rFonts w:ascii="Arial" w:hAnsi="Arial"/>
      <w:b/>
      <w:bCs/>
      <w:iCs/>
      <w:szCs w:val="28"/>
      <w:lang w:val="en-US"/>
    </w:rPr>
  </w:style>
  <w:style w:type="paragraph" w:styleId="Nadpis3">
    <w:name w:val="heading 3"/>
    <w:aliases w:val="Title 3"/>
    <w:basedOn w:val="Normln"/>
    <w:next w:val="Normln"/>
    <w:link w:val="Nadpis3Char"/>
    <w:uiPriority w:val="9"/>
    <w:unhideWhenUsed/>
    <w:qFormat/>
    <w:rsid w:val="00985698"/>
    <w:pPr>
      <w:keepNext/>
      <w:numPr>
        <w:ilvl w:val="1"/>
        <w:numId w:val="19"/>
      </w:numPr>
      <w:spacing w:before="240" w:after="120"/>
      <w:ind w:left="426" w:hanging="426"/>
      <w:outlineLvl w:val="2"/>
    </w:pPr>
    <w:rPr>
      <w:rFonts w:ascii="Arial" w:hAnsi="Arial"/>
      <w:bCs/>
      <w:i/>
      <w:sz w:val="20"/>
      <w:szCs w:val="26"/>
    </w:rPr>
  </w:style>
  <w:style w:type="paragraph" w:styleId="Nadpis4">
    <w:name w:val="heading 4"/>
    <w:aliases w:val="Title 4"/>
    <w:basedOn w:val="Normln"/>
    <w:next w:val="Normln"/>
    <w:link w:val="Nadpis4Char"/>
    <w:uiPriority w:val="9"/>
    <w:unhideWhenUsed/>
    <w:rsid w:val="009828DF"/>
    <w:pPr>
      <w:keepNext/>
      <w:spacing w:before="120"/>
      <w:outlineLvl w:val="3"/>
    </w:pPr>
    <w:rPr>
      <w:rFonts w:ascii="Arial" w:hAnsi="Arial"/>
      <w:bCs/>
      <w:i/>
      <w:szCs w:val="28"/>
    </w:rPr>
  </w:style>
  <w:style w:type="paragraph" w:styleId="Nadpis7">
    <w:name w:val="heading 7"/>
    <w:basedOn w:val="Normln"/>
    <w:next w:val="Normln"/>
    <w:rsid w:val="000505F9"/>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rsid w:val="00B424AD"/>
    <w:pPr>
      <w:ind w:left="720"/>
      <w:contextualSpacing/>
    </w:pPr>
  </w:style>
  <w:style w:type="paragraph" w:styleId="Zhlav">
    <w:name w:val="header"/>
    <w:basedOn w:val="Normln"/>
    <w:link w:val="ZhlavChar"/>
    <w:uiPriority w:val="99"/>
    <w:unhideWhenUsed/>
    <w:rsid w:val="00A874FB"/>
    <w:pPr>
      <w:tabs>
        <w:tab w:val="center" w:pos="4536"/>
        <w:tab w:val="right" w:pos="9072"/>
      </w:tabs>
    </w:pPr>
    <w:rPr>
      <w:lang w:val="x-none"/>
    </w:rPr>
  </w:style>
  <w:style w:type="character" w:customStyle="1" w:styleId="ZhlavChar">
    <w:name w:val="Záhlaví Char"/>
    <w:link w:val="Zhlav"/>
    <w:uiPriority w:val="99"/>
    <w:rsid w:val="00A874F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74FB"/>
    <w:pPr>
      <w:tabs>
        <w:tab w:val="center" w:pos="4536"/>
        <w:tab w:val="right" w:pos="9072"/>
      </w:tabs>
    </w:pPr>
    <w:rPr>
      <w:lang w:val="x-none"/>
    </w:rPr>
  </w:style>
  <w:style w:type="character" w:customStyle="1" w:styleId="ZpatChar">
    <w:name w:val="Zápatí Char"/>
    <w:link w:val="Zpat"/>
    <w:uiPriority w:val="99"/>
    <w:rsid w:val="00A874F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874FB"/>
    <w:rPr>
      <w:rFonts w:ascii="Tahoma" w:hAnsi="Tahoma"/>
      <w:sz w:val="16"/>
      <w:szCs w:val="16"/>
      <w:lang w:val="x-none"/>
    </w:rPr>
  </w:style>
  <w:style w:type="character" w:customStyle="1" w:styleId="TextbublinyChar">
    <w:name w:val="Text bubliny Char"/>
    <w:link w:val="Textbubliny"/>
    <w:uiPriority w:val="99"/>
    <w:semiHidden/>
    <w:rsid w:val="00A874FB"/>
    <w:rPr>
      <w:rFonts w:ascii="Tahoma" w:eastAsia="Times New Roman" w:hAnsi="Tahoma" w:cs="Tahoma"/>
      <w:sz w:val="16"/>
      <w:szCs w:val="16"/>
      <w:lang w:eastAsia="cs-CZ"/>
    </w:rPr>
  </w:style>
  <w:style w:type="character" w:styleId="Siln">
    <w:name w:val="Strong"/>
    <w:rsid w:val="000918C2"/>
    <w:rPr>
      <w:b/>
      <w:bCs/>
    </w:rPr>
  </w:style>
  <w:style w:type="paragraph" w:customStyle="1" w:styleId="ERIE1rove">
    <w:name w:val="ERIE 1.úroveň"/>
    <w:basedOn w:val="Normln"/>
    <w:rsid w:val="000505F9"/>
    <w:pPr>
      <w:keepNext/>
      <w:spacing w:before="480" w:after="120"/>
    </w:pPr>
    <w:rPr>
      <w:rFonts w:ascii="Arial" w:hAnsi="Arial"/>
      <w:b/>
      <w:sz w:val="26"/>
    </w:rPr>
  </w:style>
  <w:style w:type="paragraph" w:customStyle="1" w:styleId="ERIE2rove">
    <w:name w:val="ERIE 2. úroveň"/>
    <w:basedOn w:val="Nadpis7"/>
    <w:rsid w:val="000505F9"/>
    <w:pPr>
      <w:keepNext/>
      <w:spacing w:before="300"/>
    </w:pPr>
    <w:rPr>
      <w:rFonts w:ascii="Arial" w:hAnsi="Arial"/>
      <w:b/>
      <w:bCs/>
    </w:rPr>
  </w:style>
  <w:style w:type="paragraph" w:customStyle="1" w:styleId="ERIEPopisekobrtab">
    <w:name w:val="ERIE Popisek obr/tab"/>
    <w:basedOn w:val="Normln"/>
    <w:rsid w:val="000505F9"/>
    <w:pPr>
      <w:autoSpaceDE w:val="0"/>
      <w:autoSpaceDN w:val="0"/>
      <w:adjustRightInd w:val="0"/>
      <w:spacing w:before="120"/>
      <w:ind w:firstLine="680"/>
      <w:jc w:val="center"/>
    </w:pPr>
    <w:rPr>
      <w:b/>
      <w:bCs/>
      <w:color w:val="000000"/>
    </w:rPr>
  </w:style>
  <w:style w:type="paragraph" w:customStyle="1" w:styleId="AP-Paragraph">
    <w:name w:val="AP - Paragraph"/>
    <w:basedOn w:val="Normln"/>
    <w:next w:val="Normln"/>
    <w:rsid w:val="000505F9"/>
    <w:pPr>
      <w:suppressAutoHyphens/>
      <w:spacing w:before="120"/>
    </w:pPr>
    <w:rPr>
      <w:lang w:val="en-US" w:eastAsia="ar-SA"/>
    </w:rPr>
  </w:style>
  <w:style w:type="table" w:styleId="Mkatabulky">
    <w:name w:val="Table Grid"/>
    <w:basedOn w:val="Normlntabulka"/>
    <w:rsid w:val="000505F9"/>
    <w:pPr>
      <w:spacing w:before="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Title 1 Char"/>
    <w:link w:val="Nadpis1"/>
    <w:uiPriority w:val="9"/>
    <w:rsid w:val="009828DF"/>
    <w:rPr>
      <w:rFonts w:ascii="Arial" w:eastAsia="Times New Roman" w:hAnsi="Arial" w:cs="Times New Roman"/>
      <w:b/>
      <w:bCs/>
      <w:kern w:val="32"/>
      <w:sz w:val="28"/>
      <w:szCs w:val="32"/>
    </w:rPr>
  </w:style>
  <w:style w:type="character" w:customStyle="1" w:styleId="Nadpis2Char">
    <w:name w:val="Nadpis 2 Char"/>
    <w:aliases w:val="Title 2 Char"/>
    <w:link w:val="Nadpis2"/>
    <w:uiPriority w:val="9"/>
    <w:rsid w:val="00C84ACD"/>
    <w:rPr>
      <w:rFonts w:ascii="Arial" w:eastAsia="Times New Roman" w:hAnsi="Arial"/>
      <w:b/>
      <w:bCs/>
      <w:iCs/>
      <w:sz w:val="22"/>
      <w:szCs w:val="28"/>
      <w:lang w:val="en-US"/>
    </w:rPr>
  </w:style>
  <w:style w:type="character" w:customStyle="1" w:styleId="Nadpis3Char">
    <w:name w:val="Nadpis 3 Char"/>
    <w:aliases w:val="Title 3 Char"/>
    <w:link w:val="Nadpis3"/>
    <w:uiPriority w:val="9"/>
    <w:rsid w:val="00985698"/>
    <w:rPr>
      <w:rFonts w:ascii="Arial" w:eastAsia="Times New Roman" w:hAnsi="Arial"/>
      <w:bCs/>
      <w:i/>
      <w:szCs w:val="26"/>
    </w:rPr>
  </w:style>
  <w:style w:type="character" w:customStyle="1" w:styleId="Nadpis4Char">
    <w:name w:val="Nadpis 4 Char"/>
    <w:aliases w:val="Title 4 Char"/>
    <w:link w:val="Nadpis4"/>
    <w:uiPriority w:val="9"/>
    <w:rsid w:val="009828DF"/>
    <w:rPr>
      <w:rFonts w:ascii="Arial" w:eastAsia="Times New Roman" w:hAnsi="Arial" w:cs="Times New Roman"/>
      <w:bCs/>
      <w:i/>
      <w:sz w:val="22"/>
      <w:szCs w:val="28"/>
    </w:rPr>
  </w:style>
  <w:style w:type="paragraph" w:customStyle="1" w:styleId="Default">
    <w:name w:val="Default"/>
    <w:rsid w:val="003B55D1"/>
    <w:pPr>
      <w:autoSpaceDE w:val="0"/>
      <w:autoSpaceDN w:val="0"/>
      <w:adjustRightInd w:val="0"/>
    </w:pPr>
    <w:rPr>
      <w:rFonts w:ascii="Times New Roman" w:hAnsi="Times New Roman"/>
      <w:color w:val="000000"/>
      <w:sz w:val="24"/>
      <w:szCs w:val="24"/>
    </w:rPr>
  </w:style>
  <w:style w:type="paragraph" w:customStyle="1" w:styleId="Els-Abstract-head">
    <w:name w:val="Els-Abstract-head"/>
    <w:next w:val="Normln"/>
    <w:rsid w:val="00B76426"/>
    <w:pPr>
      <w:keepNext/>
      <w:pBdr>
        <w:top w:val="single" w:sz="4" w:space="10" w:color="auto"/>
      </w:pBdr>
      <w:suppressAutoHyphens/>
      <w:spacing w:after="220" w:line="220" w:lineRule="exact"/>
    </w:pPr>
    <w:rPr>
      <w:rFonts w:ascii="Times New Roman" w:eastAsia="SimSun" w:hAnsi="Times New Roman"/>
      <w:b/>
      <w:sz w:val="18"/>
      <w:lang w:val="en-US" w:eastAsia="en-US"/>
    </w:rPr>
  </w:style>
  <w:style w:type="paragraph" w:customStyle="1" w:styleId="Els-Abstract-text">
    <w:name w:val="Els-Abstract-text"/>
    <w:next w:val="Normln"/>
    <w:rsid w:val="00B76426"/>
    <w:pPr>
      <w:spacing w:line="220" w:lineRule="exact"/>
      <w:jc w:val="both"/>
    </w:pPr>
    <w:rPr>
      <w:rFonts w:ascii="Times New Roman" w:eastAsia="SimSun" w:hAnsi="Times New Roman"/>
      <w:sz w:val="18"/>
      <w:lang w:val="en-US" w:eastAsia="en-US"/>
    </w:rPr>
  </w:style>
  <w:style w:type="paragraph" w:customStyle="1" w:styleId="Els-keywords">
    <w:name w:val="Els-keywords"/>
    <w:next w:val="Normln"/>
    <w:rsid w:val="00B76426"/>
    <w:pPr>
      <w:pBdr>
        <w:bottom w:val="single" w:sz="4" w:space="10" w:color="auto"/>
      </w:pBdr>
      <w:spacing w:after="200" w:line="200" w:lineRule="exact"/>
    </w:pPr>
    <w:rPr>
      <w:rFonts w:ascii="Times New Roman" w:eastAsia="SimSun" w:hAnsi="Times New Roman"/>
      <w:noProof/>
      <w:sz w:val="16"/>
      <w:lang w:val="en-US" w:eastAsia="en-US"/>
    </w:rPr>
  </w:style>
  <w:style w:type="paragraph" w:customStyle="1" w:styleId="Els-body-text">
    <w:name w:val="Els-body-text"/>
    <w:rsid w:val="00CC6A91"/>
    <w:pPr>
      <w:spacing w:line="240" w:lineRule="exact"/>
      <w:ind w:firstLine="238"/>
      <w:jc w:val="both"/>
    </w:pPr>
    <w:rPr>
      <w:rFonts w:ascii="Times New Roman" w:eastAsia="SimSun" w:hAnsi="Times New Roman"/>
      <w:lang w:val="en-US" w:eastAsia="en-US"/>
    </w:rPr>
  </w:style>
  <w:style w:type="paragraph" w:customStyle="1" w:styleId="Els-bulletlist">
    <w:name w:val="Els-bulletlist"/>
    <w:basedOn w:val="Els-body-text"/>
    <w:rsid w:val="00CC6A91"/>
    <w:pPr>
      <w:numPr>
        <w:numId w:val="13"/>
      </w:numPr>
      <w:tabs>
        <w:tab w:val="left" w:pos="240"/>
      </w:tabs>
      <w:jc w:val="left"/>
    </w:pPr>
  </w:style>
  <w:style w:type="paragraph" w:customStyle="1" w:styleId="Els-caption">
    <w:name w:val="Els-caption"/>
    <w:rsid w:val="00236805"/>
    <w:pPr>
      <w:keepLines/>
      <w:spacing w:before="200" w:after="240" w:line="200" w:lineRule="exact"/>
    </w:pPr>
    <w:rPr>
      <w:rFonts w:ascii="Times New Roman" w:eastAsia="SimSun" w:hAnsi="Times New Roman"/>
      <w:sz w:val="16"/>
      <w:lang w:val="en-US" w:eastAsia="en-US"/>
    </w:rPr>
  </w:style>
  <w:style w:type="paragraph" w:customStyle="1" w:styleId="Els-table-text">
    <w:name w:val="Els-table-text"/>
    <w:rsid w:val="00236805"/>
    <w:pPr>
      <w:spacing w:after="80" w:line="200" w:lineRule="exact"/>
    </w:pPr>
    <w:rPr>
      <w:rFonts w:ascii="Times New Roman" w:eastAsia="SimSun" w:hAnsi="Times New Roman"/>
      <w:sz w:val="16"/>
      <w:lang w:val="en-US" w:eastAsia="en-US"/>
    </w:rPr>
  </w:style>
  <w:style w:type="paragraph" w:customStyle="1" w:styleId="Els-equation">
    <w:name w:val="Els-equation"/>
    <w:next w:val="Normln"/>
    <w:rsid w:val="005E7B5C"/>
    <w:pPr>
      <w:widowControl w:val="0"/>
      <w:tabs>
        <w:tab w:val="right" w:pos="4320"/>
        <w:tab w:val="right" w:pos="9120"/>
      </w:tabs>
      <w:spacing w:before="240" w:after="240"/>
      <w:ind w:left="482"/>
    </w:pPr>
    <w:rPr>
      <w:rFonts w:ascii="Times New Roman" w:eastAsia="SimSun" w:hAnsi="Times New Roman"/>
      <w:i/>
      <w:noProof/>
      <w:lang w:val="en-US" w:eastAsia="en-US"/>
    </w:rPr>
  </w:style>
  <w:style w:type="character" w:styleId="Hypertextovodkaz">
    <w:name w:val="Hyperlink"/>
    <w:uiPriority w:val="99"/>
    <w:unhideWhenUsed/>
    <w:rsid w:val="009856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73091">
      <w:bodyDiv w:val="1"/>
      <w:marLeft w:val="0"/>
      <w:marRight w:val="0"/>
      <w:marTop w:val="0"/>
      <w:marBottom w:val="0"/>
      <w:divBdr>
        <w:top w:val="none" w:sz="0" w:space="0" w:color="auto"/>
        <w:left w:val="none" w:sz="0" w:space="0" w:color="auto"/>
        <w:bottom w:val="none" w:sz="0" w:space="0" w:color="auto"/>
        <w:right w:val="none" w:sz="0" w:space="0" w:color="auto"/>
      </w:divBdr>
    </w:div>
    <w:div w:id="280261369">
      <w:bodyDiv w:val="1"/>
      <w:marLeft w:val="0"/>
      <w:marRight w:val="0"/>
      <w:marTop w:val="0"/>
      <w:marBottom w:val="0"/>
      <w:divBdr>
        <w:top w:val="none" w:sz="0" w:space="0" w:color="auto"/>
        <w:left w:val="none" w:sz="0" w:space="0" w:color="auto"/>
        <w:bottom w:val="none" w:sz="0" w:space="0" w:color="auto"/>
        <w:right w:val="none" w:sz="0" w:space="0" w:color="auto"/>
      </w:divBdr>
    </w:div>
    <w:div w:id="315380387">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874853893">
      <w:bodyDiv w:val="1"/>
      <w:marLeft w:val="0"/>
      <w:marRight w:val="0"/>
      <w:marTop w:val="0"/>
      <w:marBottom w:val="0"/>
      <w:divBdr>
        <w:top w:val="none" w:sz="0" w:space="0" w:color="auto"/>
        <w:left w:val="none" w:sz="0" w:space="0" w:color="auto"/>
        <w:bottom w:val="none" w:sz="0" w:space="0" w:color="auto"/>
        <w:right w:val="none" w:sz="0" w:space="0" w:color="auto"/>
      </w:divBdr>
    </w:div>
    <w:div w:id="1425346893">
      <w:bodyDiv w:val="1"/>
      <w:marLeft w:val="0"/>
      <w:marRight w:val="0"/>
      <w:marTop w:val="0"/>
      <w:marBottom w:val="0"/>
      <w:divBdr>
        <w:top w:val="none" w:sz="0" w:space="0" w:color="auto"/>
        <w:left w:val="none" w:sz="0" w:space="0" w:color="auto"/>
        <w:bottom w:val="none" w:sz="0" w:space="0" w:color="auto"/>
        <w:right w:val="none" w:sz="0" w:space="0" w:color="auto"/>
      </w:divBdr>
    </w:div>
    <w:div w:id="1709531159">
      <w:bodyDiv w:val="1"/>
      <w:marLeft w:val="0"/>
      <w:marRight w:val="0"/>
      <w:marTop w:val="0"/>
      <w:marBottom w:val="0"/>
      <w:divBdr>
        <w:top w:val="none" w:sz="0" w:space="0" w:color="auto"/>
        <w:left w:val="none" w:sz="0" w:space="0" w:color="auto"/>
        <w:bottom w:val="none" w:sz="0" w:space="0" w:color="auto"/>
        <w:right w:val="none" w:sz="0" w:space="0" w:color="auto"/>
      </w:divBdr>
    </w:div>
    <w:div w:id="181536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5186E-9EF1-423F-A8F1-2DB244742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3789</Words>
  <Characters>22356</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The Title (Arial size 14)</vt:lpstr>
    </vt:vector>
  </TitlesOfParts>
  <Company>HP</Company>
  <LinksUpToDate>false</LinksUpToDate>
  <CharactersWithSpaces>26093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(Arial size 14)</dc:title>
  <dc:creator>Lenka</dc:creator>
  <cp:lastModifiedBy>Machova Renata</cp:lastModifiedBy>
  <cp:revision>2</cp:revision>
  <dcterms:created xsi:type="dcterms:W3CDTF">2017-01-26T11:26:00Z</dcterms:created>
  <dcterms:modified xsi:type="dcterms:W3CDTF">2017-01-26T11:26:00Z</dcterms:modified>
</cp:coreProperties>
</file>