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6C" w:rsidRDefault="0031249F" w:rsidP="009C1D6C">
      <w:pPr>
        <w:spacing w:line="360" w:lineRule="auto"/>
        <w:jc w:val="both"/>
        <w:rPr>
          <w:rFonts w:cs="Courier New"/>
        </w:rPr>
      </w:pPr>
      <w:r>
        <w:rPr>
          <w:rFonts w:cs="Courier New"/>
        </w:rPr>
        <w:t>Daniela Goldbergová</w:t>
      </w:r>
      <w:r w:rsidR="009C1D6C">
        <w:rPr>
          <w:rFonts w:cs="Courier New"/>
        </w:rPr>
        <w:t xml:space="preserve">, </w:t>
      </w:r>
      <w:r>
        <w:rPr>
          <w:rFonts w:cs="Courier New"/>
          <w:i/>
        </w:rPr>
        <w:t xml:space="preserve">Čtyřicet let vdovou. Osudy Marie Filipíny </w:t>
      </w:r>
      <w:proofErr w:type="spellStart"/>
      <w:r>
        <w:rPr>
          <w:rFonts w:cs="Courier New"/>
          <w:i/>
        </w:rPr>
        <w:t>Thun-Hohensteinové</w:t>
      </w:r>
      <w:proofErr w:type="spellEnd"/>
      <w:r>
        <w:rPr>
          <w:rFonts w:cs="Courier New"/>
          <w:i/>
        </w:rPr>
        <w:t xml:space="preserve"> (1693-1769)</w:t>
      </w:r>
      <w:r w:rsidR="001558D3">
        <w:rPr>
          <w:rFonts w:cs="Courier New"/>
        </w:rPr>
        <w:t xml:space="preserve">, </w:t>
      </w:r>
      <w:r w:rsidR="009C1D6C">
        <w:rPr>
          <w:rFonts w:cs="Courier New"/>
        </w:rPr>
        <w:t>Pardubice</w:t>
      </w:r>
      <w:r w:rsidR="009C1D6C">
        <w:rPr>
          <w:rFonts w:cs="Courier New"/>
          <w:i/>
        </w:rPr>
        <w:t xml:space="preserve"> </w:t>
      </w:r>
      <w:r w:rsidR="005E6368">
        <w:rPr>
          <w:rFonts w:cs="Courier New"/>
        </w:rPr>
        <w:t>201</w:t>
      </w:r>
      <w:r w:rsidR="001558D3">
        <w:rPr>
          <w:rFonts w:cs="Courier New"/>
        </w:rPr>
        <w:t>6</w:t>
      </w:r>
      <w:r w:rsidR="009C1D6C">
        <w:rPr>
          <w:rFonts w:cs="Courier New"/>
        </w:rPr>
        <w:t xml:space="preserve">, </w:t>
      </w:r>
      <w:r>
        <w:rPr>
          <w:rFonts w:cs="Courier New"/>
        </w:rPr>
        <w:t>133</w:t>
      </w:r>
      <w:r w:rsidR="009C1D6C">
        <w:rPr>
          <w:rFonts w:cs="Courier New"/>
        </w:rPr>
        <w:t xml:space="preserve"> s. (</w:t>
      </w:r>
      <w:r>
        <w:rPr>
          <w:rFonts w:cs="Courier New"/>
        </w:rPr>
        <w:t>diplomov</w:t>
      </w:r>
      <w:r w:rsidR="001558D3">
        <w:rPr>
          <w:rFonts w:cs="Courier New"/>
        </w:rPr>
        <w:t>á</w:t>
      </w:r>
      <w:r w:rsidR="009C1D6C">
        <w:rPr>
          <w:rFonts w:cs="Courier New"/>
        </w:rPr>
        <w:t xml:space="preserve"> práce FF Univerzity Pardubice).</w:t>
      </w:r>
    </w:p>
    <w:p w:rsidR="009C1D6C" w:rsidRDefault="009C1D6C" w:rsidP="009C1D6C">
      <w:pPr>
        <w:spacing w:line="360" w:lineRule="auto"/>
        <w:jc w:val="both"/>
        <w:rPr>
          <w:rFonts w:cs="Courier New"/>
        </w:rPr>
      </w:pPr>
    </w:p>
    <w:p w:rsidR="009C1D6C" w:rsidRDefault="009C1D6C" w:rsidP="009C1D6C">
      <w:pPr>
        <w:spacing w:line="360" w:lineRule="auto"/>
        <w:jc w:val="both"/>
        <w:rPr>
          <w:rFonts w:cs="Courier New"/>
          <w:i/>
        </w:rPr>
      </w:pPr>
      <w:r>
        <w:rPr>
          <w:rFonts w:cs="Courier New"/>
          <w:i/>
        </w:rPr>
        <w:t xml:space="preserve">Posudek oponenta </w:t>
      </w:r>
      <w:r w:rsidR="0031249F">
        <w:rPr>
          <w:rFonts w:cs="Courier New"/>
          <w:i/>
        </w:rPr>
        <w:t>diplomov</w:t>
      </w:r>
      <w:r w:rsidR="001558D3">
        <w:rPr>
          <w:rFonts w:cs="Courier New"/>
          <w:i/>
        </w:rPr>
        <w:t>é</w:t>
      </w:r>
      <w:r>
        <w:rPr>
          <w:rFonts w:cs="Courier New"/>
          <w:i/>
        </w:rPr>
        <w:t xml:space="preserve"> práce</w:t>
      </w:r>
    </w:p>
    <w:p w:rsidR="009C1D6C" w:rsidRDefault="009C1D6C" w:rsidP="009C1D6C">
      <w:pPr>
        <w:spacing w:line="360" w:lineRule="auto"/>
        <w:ind w:firstLine="284"/>
        <w:jc w:val="both"/>
        <w:rPr>
          <w:rFonts w:cs="Courier New"/>
          <w:i/>
        </w:rPr>
      </w:pPr>
    </w:p>
    <w:p w:rsidR="00B64F7C" w:rsidRDefault="00F61D78" w:rsidP="00B64F7C">
      <w:pPr>
        <w:spacing w:line="360" w:lineRule="auto"/>
        <w:jc w:val="both"/>
      </w:pPr>
      <w:r>
        <w:t xml:space="preserve">Daniela Goldbergová se v předložené diplomové práci rozhodla přiblížit osudy šlechtičny, která podobně jako mnoho ostatních raně novověkých žen, doposud unikala pozornosti historiků. Navázala přitom na svou </w:t>
      </w:r>
      <w:r w:rsidR="003A0206">
        <w:t xml:space="preserve">úspěšně </w:t>
      </w:r>
      <w:r>
        <w:t xml:space="preserve">obhájenou bakalářskou práci. Zatímco tehdy se zabývala Marií Josefou Klárou </w:t>
      </w:r>
      <w:proofErr w:type="spellStart"/>
      <w:r>
        <w:t>Thunovou</w:t>
      </w:r>
      <w:proofErr w:type="spellEnd"/>
      <w:r>
        <w:t xml:space="preserve">, provdanou Mansfeldovou, nyní </w:t>
      </w:r>
      <w:r w:rsidR="003A0206">
        <w:t>upřela svůj zájem k ž</w:t>
      </w:r>
      <w:r w:rsidR="0055001A">
        <w:t xml:space="preserve">ivotu Mariiny matky Marii </w:t>
      </w:r>
      <w:proofErr w:type="spellStart"/>
      <w:r w:rsidR="0055001A">
        <w:t>Filipí</w:t>
      </w:r>
      <w:r w:rsidR="003A0206">
        <w:t>n</w:t>
      </w:r>
      <w:r w:rsidR="0055001A">
        <w:t>ě</w:t>
      </w:r>
      <w:proofErr w:type="spellEnd"/>
      <w:r w:rsidR="003A0206">
        <w:t xml:space="preserve"> z </w:t>
      </w:r>
      <w:proofErr w:type="spellStart"/>
      <w:r w:rsidR="003A0206">
        <w:t>Thun</w:t>
      </w:r>
      <w:proofErr w:type="spellEnd"/>
      <w:r w:rsidR="003A0206">
        <w:t xml:space="preserve"> </w:t>
      </w:r>
      <w:proofErr w:type="spellStart"/>
      <w:r w:rsidR="003A0206">
        <w:t>Hohensteinu</w:t>
      </w:r>
      <w:proofErr w:type="spellEnd"/>
      <w:r w:rsidR="003A0206">
        <w:t xml:space="preserve">. Připomínám tady tuto skutečnost především proto, neboť vedle </w:t>
      </w:r>
      <w:r w:rsidR="00B64F7C">
        <w:t xml:space="preserve">blízkého </w:t>
      </w:r>
      <w:r w:rsidR="003A0206">
        <w:t>tématu bychom u obou prací mohl</w:t>
      </w:r>
      <w:r w:rsidR="00B64F7C">
        <w:t>i</w:t>
      </w:r>
      <w:r w:rsidR="003A0206">
        <w:t xml:space="preserve"> nalézt také další společné rysy, například téměř shodnou strukturu založenou na van </w:t>
      </w:r>
      <w:proofErr w:type="spellStart"/>
      <w:r w:rsidR="003A0206">
        <w:t>Genepov</w:t>
      </w:r>
      <w:r w:rsidR="00B64F7C">
        <w:t>u</w:t>
      </w:r>
      <w:proofErr w:type="spellEnd"/>
      <w:r w:rsidR="003A0206">
        <w:t xml:space="preserve"> teoretickém konceptu přechodových rituálů. V diplomové práci proto nalezneme kapitoly, ve kterých je hlavní hrdinka představena coby dcera (s. 32-40), nevěsta (s. 41-53), manželka (s. 54-68), matka (s. 69-80) a vdova (81-88). </w:t>
      </w:r>
      <w:r w:rsidR="00B64F7C">
        <w:t>V</w:t>
      </w:r>
      <w:r w:rsidR="003A0206">
        <w:t xml:space="preserve"> závěru </w:t>
      </w:r>
      <w:r w:rsidR="00B64F7C">
        <w:t xml:space="preserve">pak Daniela </w:t>
      </w:r>
      <w:proofErr w:type="spellStart"/>
      <w:r w:rsidR="00B64F7C">
        <w:t>Golbergová</w:t>
      </w:r>
      <w:proofErr w:type="spellEnd"/>
      <w:r w:rsidR="00B64F7C">
        <w:t xml:space="preserve"> př</w:t>
      </w:r>
      <w:r w:rsidR="0055001A">
        <w:t>ipojuje ještě další dvě kapitol</w:t>
      </w:r>
      <w:r w:rsidR="00B64F7C">
        <w:t>y. Zatímco pojednání o smrti Marie Filipíny z </w:t>
      </w:r>
      <w:proofErr w:type="spellStart"/>
      <w:proofErr w:type="gramStart"/>
      <w:r w:rsidR="00B64F7C">
        <w:t>Thunu</w:t>
      </w:r>
      <w:proofErr w:type="spellEnd"/>
      <w:proofErr w:type="gramEnd"/>
      <w:r w:rsidR="00B64F7C">
        <w:t xml:space="preserve"> a </w:t>
      </w:r>
      <w:proofErr w:type="spellStart"/>
      <w:r w:rsidR="00B64F7C">
        <w:t>Hohensteinu</w:t>
      </w:r>
      <w:proofErr w:type="spellEnd"/>
      <w:r w:rsidR="00B64F7C">
        <w:t xml:space="preserve">  (105-121) tvoří jakési logické završení celého výkladu, část věnovaná agentům v jejích službách (s. 89-104) působí dojmem jakéhosi vnuceného a cizorodého apendixu a narušuje jinak velmi vhodně zvolenou strukturu výkladu.</w:t>
      </w:r>
    </w:p>
    <w:p w:rsidR="00EF5583" w:rsidRDefault="001A6B28" w:rsidP="00B64F7C">
      <w:pPr>
        <w:spacing w:line="360" w:lineRule="auto"/>
        <w:jc w:val="both"/>
      </w:pPr>
      <w:r>
        <w:t xml:space="preserve">Hned na úvod svého posudku bych rád vyzdvihl autorčinu práci s prameny. Daniela </w:t>
      </w:r>
      <w:proofErr w:type="spellStart"/>
      <w:r>
        <w:t>Golbergová</w:t>
      </w:r>
      <w:proofErr w:type="spellEnd"/>
      <w:r>
        <w:t xml:space="preserve"> opírá své závěry o úctyhodné množství pramenů rozmanitého charakteru. Výpovědi korespondence uložené v Rodinném archivu </w:t>
      </w:r>
      <w:proofErr w:type="spellStart"/>
      <w:r>
        <w:t>Thunů</w:t>
      </w:r>
      <w:proofErr w:type="spellEnd"/>
      <w:r>
        <w:t xml:space="preserve"> (děčínská pobočka SOA Litoměřice) a v rodinném archivu </w:t>
      </w:r>
      <w:proofErr w:type="spellStart"/>
      <w:r>
        <w:t>Harrachů</w:t>
      </w:r>
      <w:proofErr w:type="spellEnd"/>
      <w:r>
        <w:t xml:space="preserve"> (</w:t>
      </w:r>
      <w:proofErr w:type="spellStart"/>
      <w:r>
        <w:t>Österreichisches</w:t>
      </w:r>
      <w:proofErr w:type="spellEnd"/>
      <w:r>
        <w:t xml:space="preserve"> </w:t>
      </w:r>
      <w:proofErr w:type="spellStart"/>
      <w:r>
        <w:t>Staatsarchiv</w:t>
      </w:r>
      <w:proofErr w:type="spellEnd"/>
      <w:r>
        <w:t xml:space="preserve"> </w:t>
      </w:r>
      <w:proofErr w:type="spellStart"/>
      <w:r>
        <w:t>Wien</w:t>
      </w:r>
      <w:proofErr w:type="spellEnd"/>
      <w:r>
        <w:t>), velmi vhodně doplnila o svědectví matrik, t</w:t>
      </w:r>
      <w:r w:rsidR="001E00BC">
        <w:t>estamentů, účtů či smluv, což jí</w:t>
      </w:r>
      <w:r>
        <w:t xml:space="preserve"> umožnilo zpřesnit některé závěry a dodala tím své práci další rozměr. </w:t>
      </w:r>
      <w:r w:rsidR="00EF5583">
        <w:t>Není třeba dodávat, o jak časově náročný výzkum se jednalo, tím spíše že se autorka musela potýkat rovněž s náročnou paleografií pramenů psaných barokní němčinou. Rovněž seznam použité literatury</w:t>
      </w:r>
      <w:r w:rsidR="00EF5583" w:rsidRPr="00EF5583">
        <w:t xml:space="preserve"> </w:t>
      </w:r>
      <w:r w:rsidR="00EF5583">
        <w:t xml:space="preserve">plně odpovídá nárokům kladeným na diplomové práce. Autorka se orientuje jak v české tak i německy psané literatuře. </w:t>
      </w:r>
      <w:r w:rsidR="0055001A">
        <w:t>Je potěšitelné, že má nejen</w:t>
      </w:r>
      <w:r w:rsidR="00EF5583">
        <w:t xml:space="preserve"> přehled o moderní literatuře, nýbrž především to, že tyto texty skutečně využívá ve své práci. </w:t>
      </w:r>
    </w:p>
    <w:p w:rsidR="00701A00" w:rsidRDefault="00EF5583" w:rsidP="00B64F7C">
      <w:pPr>
        <w:spacing w:line="360" w:lineRule="auto"/>
        <w:jc w:val="both"/>
      </w:pPr>
      <w:r>
        <w:t xml:space="preserve">Možná právě snaha </w:t>
      </w:r>
      <w:r w:rsidR="00701A00">
        <w:t>„prodat“ veškeré své znalosti načerpané v literatuře a ukázat, jak širokou pramennou základnu zvolila</w:t>
      </w:r>
      <w:r w:rsidR="00E14565">
        <w:t>,</w:t>
      </w:r>
      <w:r w:rsidR="00701A00">
        <w:t xml:space="preserve"> ve svém důsledku předložené práci </w:t>
      </w:r>
      <w:r w:rsidR="0055001A">
        <w:t>nakonec uškodilo</w:t>
      </w:r>
      <w:r w:rsidR="00701A00">
        <w:t xml:space="preserve">. Autorčin výklad o osudech Marie Filipíny se totiž ve skutečnosti utápí v rozsáhlých exkurzech věnovaných obecnému postavení žen v raně novověké společnosti. Netvrdím přitom, že není </w:t>
      </w:r>
      <w:r w:rsidR="00701A00">
        <w:lastRenderedPageBreak/>
        <w:t xml:space="preserve">třeba konkrétní případy zasazovat do širšího kontextu. V práci Daniely Goldbergové však obecný kontext mnohdy přesahuje pasáže věnované přímo </w:t>
      </w:r>
      <w:r w:rsidR="0055001A">
        <w:t>hlavní protagonistce</w:t>
      </w:r>
      <w:r w:rsidR="00701A00">
        <w:t>.</w:t>
      </w:r>
    </w:p>
    <w:p w:rsidR="00AF3C66" w:rsidRDefault="00701A00" w:rsidP="00B64F7C">
      <w:pPr>
        <w:spacing w:line="360" w:lineRule="auto"/>
        <w:jc w:val="both"/>
      </w:pPr>
      <w:r>
        <w:t xml:space="preserve">Plynulosti jinak čtivě napsaného textu podobně škodí </w:t>
      </w:r>
      <w:r w:rsidR="0053066A">
        <w:t xml:space="preserve">skutečnost, že </w:t>
      </w:r>
      <w:r w:rsidR="00F97F46">
        <w:t xml:space="preserve">autorka </w:t>
      </w:r>
      <w:r w:rsidR="0053066A">
        <w:t>v téměř každé kapitole představuje využitou pramennou základnu. Informace o tom, kolik dopisů Marie Filipíny se dochovalo ve vídeňském státním archivu, by se dle mého soudu</w:t>
      </w:r>
      <w:r w:rsidR="00F97F46">
        <w:t xml:space="preserve"> přitom </w:t>
      </w:r>
      <w:r w:rsidR="0053066A">
        <w:t xml:space="preserve">mnohem lépe vyjímaly v úvodu práce než v kapitole věnované </w:t>
      </w:r>
      <w:r w:rsidR="00057528">
        <w:t xml:space="preserve">jejímu </w:t>
      </w:r>
      <w:r w:rsidR="0053066A">
        <w:t xml:space="preserve">dětství (s. 34), stejně tak to platí i </w:t>
      </w:r>
      <w:r w:rsidR="00F97F46">
        <w:t xml:space="preserve">o struktuře dopisů Františka Josefa obšírně představené v kapitole „Marie </w:t>
      </w:r>
      <w:proofErr w:type="spellStart"/>
      <w:r w:rsidR="00F97F46">
        <w:t>Filipína</w:t>
      </w:r>
      <w:proofErr w:type="spellEnd"/>
      <w:r w:rsidR="00F97F46">
        <w:t xml:space="preserve"> manželkou“ (s. 59), </w:t>
      </w:r>
      <w:r w:rsidR="0053066A">
        <w:t>údajích o autorčinu bádání v matrikách Národního archivu v Praze (s. 56)</w:t>
      </w:r>
      <w:r w:rsidR="00F97F46">
        <w:t xml:space="preserve"> či neúspěšném hledání testamentu Jana Františka z </w:t>
      </w:r>
      <w:proofErr w:type="spellStart"/>
      <w:proofErr w:type="gramStart"/>
      <w:r w:rsidR="00F97F46">
        <w:t>Thunu</w:t>
      </w:r>
      <w:proofErr w:type="spellEnd"/>
      <w:proofErr w:type="gramEnd"/>
      <w:r w:rsidR="00F97F46">
        <w:t xml:space="preserve"> (s. 84). Posledně uvedená informace se v textu ostatně opakuje (předtím s. 75). </w:t>
      </w:r>
    </w:p>
    <w:p w:rsidR="00AD7547" w:rsidRDefault="00F97F46" w:rsidP="00AF3C66">
      <w:pPr>
        <w:spacing w:line="360" w:lineRule="auto"/>
        <w:jc w:val="both"/>
      </w:pPr>
      <w:r>
        <w:t xml:space="preserve">Opakování se autorka nevyhnula ani v dalších případech. V textu se například </w:t>
      </w:r>
      <w:r w:rsidR="00AF3C66">
        <w:t xml:space="preserve">několikrát vyskytují </w:t>
      </w:r>
      <w:r>
        <w:t xml:space="preserve">informace o počtu potomků Marie Filipíny, </w:t>
      </w:r>
      <w:r w:rsidR="00A7243F">
        <w:t xml:space="preserve">o </w:t>
      </w:r>
      <w:r w:rsidR="00B35D63">
        <w:t xml:space="preserve">článcích svatební smlouvy, </w:t>
      </w:r>
      <w:r>
        <w:t>o manželově smrti v</w:t>
      </w:r>
      <w:r w:rsidR="00A7243F">
        <w:t> </w:t>
      </w:r>
      <w:r>
        <w:t>Horažďovicíc</w:t>
      </w:r>
      <w:r w:rsidR="00B35D63">
        <w:t>h</w:t>
      </w:r>
      <w:r w:rsidR="00A7243F">
        <w:t>, apod</w:t>
      </w:r>
      <w:r w:rsidR="00B35D63">
        <w:t xml:space="preserve">. Částečně je to dáno strukturou textu, jež k prolínání určitých údajů svádí. Přesto se i vzhledem k ne zrovna vzácným překlepům nemohu ubránit dojmu, že autorka </w:t>
      </w:r>
      <w:r w:rsidR="00AF3C66">
        <w:t>nepřistoupila</w:t>
      </w:r>
      <w:r w:rsidR="00B35D63">
        <w:t xml:space="preserve"> </w:t>
      </w:r>
      <w:r w:rsidR="00AF3C66">
        <w:t xml:space="preserve">ke </w:t>
      </w:r>
      <w:r w:rsidR="00B35D63">
        <w:t>korektu</w:t>
      </w:r>
      <w:r w:rsidR="00AF3C66">
        <w:t>ře</w:t>
      </w:r>
      <w:r w:rsidR="00B35D63">
        <w:t xml:space="preserve"> textu</w:t>
      </w:r>
      <w:r w:rsidR="00AF3C66">
        <w:t xml:space="preserve"> s takovou pečlivostí, s jakou by si její práce zasloužila</w:t>
      </w:r>
      <w:r w:rsidR="00B35D63">
        <w:t xml:space="preserve">. </w:t>
      </w:r>
      <w:r w:rsidR="00AF3C66">
        <w:t xml:space="preserve">Jinak vysokou úroveň jejího písemného vyjadřování navíc zbytečně snižují občasné hovorové výrazy. </w:t>
      </w:r>
      <w:r w:rsidR="00B35D63">
        <w:t xml:space="preserve">Za </w:t>
      </w:r>
      <w:r w:rsidR="00AF3C66">
        <w:t xml:space="preserve">zcela neadekvátní považuji zejména větu ze závěru práce, v níž Daniela Goldbergová představuje knihu Ženy v českých zemích jako </w:t>
      </w:r>
      <w:r w:rsidR="00AF3C66">
        <w:rPr>
          <w:i/>
        </w:rPr>
        <w:t xml:space="preserve">tzv. „tlusté ženy“ od historičky Mileny </w:t>
      </w:r>
      <w:proofErr w:type="spellStart"/>
      <w:r w:rsidR="00AF3C66">
        <w:rPr>
          <w:i/>
        </w:rPr>
        <w:t>Lenderové</w:t>
      </w:r>
      <w:proofErr w:type="spellEnd"/>
      <w:r w:rsidR="00AF3C66">
        <w:rPr>
          <w:i/>
        </w:rPr>
        <w:t xml:space="preserve">. </w:t>
      </w:r>
      <w:r w:rsidR="00AF3C66">
        <w:t xml:space="preserve"> </w:t>
      </w:r>
      <w:r w:rsidR="00B35D63">
        <w:t xml:space="preserve"> </w:t>
      </w:r>
    </w:p>
    <w:p w:rsidR="0055001A" w:rsidRDefault="0055001A" w:rsidP="00AF3C66">
      <w:pPr>
        <w:spacing w:line="360" w:lineRule="auto"/>
        <w:jc w:val="both"/>
      </w:pPr>
    </w:p>
    <w:p w:rsidR="00AF3C66" w:rsidRDefault="001558D3" w:rsidP="00AF3C66">
      <w:pPr>
        <w:spacing w:line="360" w:lineRule="auto"/>
        <w:jc w:val="both"/>
      </w:pPr>
      <w:r w:rsidRPr="000B325A">
        <w:t xml:space="preserve">Závěrem: </w:t>
      </w:r>
      <w:r w:rsidR="00265CE5">
        <w:t xml:space="preserve">Můj dojem z předložené </w:t>
      </w:r>
      <w:r w:rsidR="00AF3C66">
        <w:t>diplomov</w:t>
      </w:r>
      <w:r w:rsidR="00265CE5">
        <w:t xml:space="preserve">é práce je rozpačitý. Na jednu stranu je třeba ocenit </w:t>
      </w:r>
      <w:r w:rsidR="00AF3C66">
        <w:t xml:space="preserve">výběr </w:t>
      </w:r>
      <w:r w:rsidR="00265CE5">
        <w:t>tématu</w:t>
      </w:r>
      <w:r w:rsidR="00AF3C66">
        <w:t xml:space="preserve"> a pečlivost, s níž autorka přistoupila k heuristické práci. Seznam pramenů, které </w:t>
      </w:r>
      <w:r w:rsidR="00A7243F">
        <w:t>Daniela Goldbergová</w:t>
      </w:r>
      <w:r w:rsidR="00AF3C66">
        <w:t xml:space="preserve"> prostudovala, je obdivuhodný</w:t>
      </w:r>
      <w:r w:rsidR="009D5514">
        <w:t>.</w:t>
      </w:r>
      <w:r w:rsidR="00AF3C66">
        <w:t xml:space="preserve"> Na druhou stranu se nemohu ubránit dojmu, že </w:t>
      </w:r>
      <w:r w:rsidR="009D5514">
        <w:t xml:space="preserve">ve výsledném textu se tato skutečnost příliš neprojevila. Je nepochybné, že Daniela Goldbergová shromáždila velmi zajímavé údaje o životě ženy, o které doposud stručně informovaly pouze některé genealogické encyklopedie. </w:t>
      </w:r>
      <w:r w:rsidR="005E078A">
        <w:t xml:space="preserve">Vedle informací o rodinném životě Marie Filipíny si pozornost rozhodně zaslouží také například autorčiny zprávy o hospodářských potížích </w:t>
      </w:r>
      <w:proofErr w:type="spellStart"/>
      <w:r w:rsidR="005E078A">
        <w:t>Thunů</w:t>
      </w:r>
      <w:proofErr w:type="spellEnd"/>
      <w:r w:rsidR="005E078A">
        <w:t>. Daniela Goldbergová však namísto toho, aby tyto informace řádně analyzovala</w:t>
      </w:r>
      <w:r w:rsidR="0055001A">
        <w:t xml:space="preserve"> a interpretovala</w:t>
      </w:r>
      <w:r w:rsidR="005E078A">
        <w:t>, věnovala zbytečně velký prostor představování obecných charakteristik jednotlivých fází života raně novověkých žen, kde přirozeně opakovala údaje načerpané v literatuře.</w:t>
      </w:r>
      <w:r w:rsidR="0027322B">
        <w:t xml:space="preserve"> </w:t>
      </w:r>
      <w:r w:rsidR="005E078A">
        <w:t xml:space="preserve">Je velká škoda, že se namísto toho nepokusila blíže představit společenské postavení </w:t>
      </w:r>
      <w:proofErr w:type="spellStart"/>
      <w:r w:rsidR="005E078A">
        <w:t>Thunů</w:t>
      </w:r>
      <w:proofErr w:type="spellEnd"/>
      <w:r w:rsidR="0027322B">
        <w:t>. Ú</w:t>
      </w:r>
      <w:r w:rsidR="005E078A">
        <w:t xml:space="preserve">daj o Mariině příslušnosti k prestižnímu Řádu </w:t>
      </w:r>
      <w:r w:rsidR="00A43C76">
        <w:t xml:space="preserve">Hvězdového </w:t>
      </w:r>
      <w:proofErr w:type="gramStart"/>
      <w:r w:rsidR="00A43C76">
        <w:t>kříže (</w:t>
      </w:r>
      <w:r w:rsidR="00DE4D8C">
        <w:t>něm</w:t>
      </w:r>
      <w:proofErr w:type="gramEnd"/>
      <w:r w:rsidR="00DE4D8C">
        <w:t xml:space="preserve">. </w:t>
      </w:r>
      <w:proofErr w:type="spellStart"/>
      <w:r w:rsidR="00DE4D8C" w:rsidRPr="00DE4D8C">
        <w:rPr>
          <w:i/>
        </w:rPr>
        <w:t>Sternkreuzorden</w:t>
      </w:r>
      <w:proofErr w:type="spellEnd"/>
      <w:r w:rsidR="00DE4D8C">
        <w:rPr>
          <w:i/>
        </w:rPr>
        <w:t>,</w:t>
      </w:r>
      <w:r w:rsidR="00DE4D8C" w:rsidRPr="00DE4D8C">
        <w:t xml:space="preserve"> </w:t>
      </w:r>
      <w:r w:rsidR="00A43C76">
        <w:t>nikoliv Křížové hvězdy, jak překládá autorka)</w:t>
      </w:r>
      <w:r w:rsidR="0027322B">
        <w:t xml:space="preserve"> se v textu dozvídáme jen tak mimochodem z citátu na s. 117. Stejně tak by stálo za to p</w:t>
      </w:r>
      <w:bookmarkStart w:id="0" w:name="_GoBack"/>
      <w:bookmarkEnd w:id="0"/>
      <w:r w:rsidR="0027322B">
        <w:t xml:space="preserve">ředstavit blíže síť Mariiných „pánu a </w:t>
      </w:r>
      <w:r w:rsidR="0027322B">
        <w:lastRenderedPageBreak/>
        <w:t>přátel“</w:t>
      </w:r>
      <w:r w:rsidR="0055001A">
        <w:t>.</w:t>
      </w:r>
      <w:r w:rsidR="0027322B">
        <w:t xml:space="preserve"> </w:t>
      </w:r>
      <w:r w:rsidR="00EF65DF">
        <w:t xml:space="preserve">Změnila se tato síť nějak poté, co byl </w:t>
      </w:r>
      <w:r w:rsidR="0027322B">
        <w:t>její ot</w:t>
      </w:r>
      <w:r w:rsidR="00A43C76">
        <w:t>e</w:t>
      </w:r>
      <w:r w:rsidR="0027322B">
        <w:t xml:space="preserve">c </w:t>
      </w:r>
      <w:r w:rsidR="00EF65DF">
        <w:t xml:space="preserve">uveden do </w:t>
      </w:r>
      <w:r w:rsidR="0027322B">
        <w:t>úřadu neapolského místokrále (1728-1733)</w:t>
      </w:r>
      <w:r w:rsidR="00EF65DF">
        <w:t>?</w:t>
      </w:r>
      <w:r w:rsidR="0027322B">
        <w:t xml:space="preserve"> Nemohl právě s</w:t>
      </w:r>
      <w:r w:rsidR="00EF65DF">
        <w:t xml:space="preserve"> tímto prestižním úřadem </w:t>
      </w:r>
      <w:r w:rsidR="0027322B">
        <w:t xml:space="preserve"> souviset obzvláště uctivý tón dopisů, ve kterých s</w:t>
      </w:r>
      <w:r w:rsidR="00EF65DF">
        <w:t>e tehdy na svého otce obracela?</w:t>
      </w:r>
      <w:r w:rsidR="0027322B">
        <w:t xml:space="preserve"> Proč se autorka domnívá, že Marie </w:t>
      </w:r>
      <w:proofErr w:type="spellStart"/>
      <w:r w:rsidR="0027322B">
        <w:t>Filipína</w:t>
      </w:r>
      <w:proofErr w:type="spellEnd"/>
      <w:r w:rsidR="0027322B">
        <w:t xml:space="preserve"> nemohla trávit své dětství ve fraucimoru císařovny</w:t>
      </w:r>
      <w:r w:rsidR="00915A0E">
        <w:t xml:space="preserve"> (s. 32)</w:t>
      </w:r>
      <w:r w:rsidR="0027322B">
        <w:t xml:space="preserve">? Vysoké postavení jejího otce by tomu přeci spíše napovídalo. </w:t>
      </w:r>
      <w:r w:rsidR="00915A0E">
        <w:t xml:space="preserve">Velký badatelský potenciál skrývá rovněž problematika ekonomické situace, v níž se Marie </w:t>
      </w:r>
      <w:proofErr w:type="spellStart"/>
      <w:r w:rsidR="00915A0E">
        <w:t>Filipína</w:t>
      </w:r>
      <w:proofErr w:type="spellEnd"/>
      <w:r w:rsidR="00915A0E">
        <w:t xml:space="preserve"> ocitla po manželově smrti. Co bylo hlavní příčinou thunovských dluhů a jak se je Marie </w:t>
      </w:r>
      <w:proofErr w:type="spellStart"/>
      <w:r w:rsidR="00915A0E">
        <w:t>Filipína</w:t>
      </w:r>
      <w:proofErr w:type="spellEnd"/>
      <w:r w:rsidR="00915A0E">
        <w:t xml:space="preserve"> pokoušela řešit, však v práci uspokojivě vysvětleno není. Je mi jasné, že by si takový výzkum vyžadoval velmi časově náročnou práci s korespondencí Mariiných agentů. Domnívám se však, že je právě tato problematika pro poznání období vdovství hraběnky </w:t>
      </w:r>
      <w:proofErr w:type="spellStart"/>
      <w:r w:rsidR="00915A0E">
        <w:t>Thunové</w:t>
      </w:r>
      <w:proofErr w:type="spellEnd"/>
      <w:r w:rsidR="00915A0E">
        <w:t xml:space="preserve"> klíčová. </w:t>
      </w:r>
    </w:p>
    <w:p w:rsidR="001558D3" w:rsidRPr="000B325A" w:rsidRDefault="00915A0E" w:rsidP="00674588">
      <w:pPr>
        <w:spacing w:line="360" w:lineRule="auto"/>
        <w:jc w:val="both"/>
      </w:pPr>
      <w:r>
        <w:t xml:space="preserve">Nerad bych, aby můj posudek vyzněl příliš kriticky. Autorka si jistě zasluhuje pochvalu za její pečlivou heuristickou práci a práci samotnou samozřejmě doporučuji k obhajobě. Vzhledem k naznačeným připomínkám ji však </w:t>
      </w:r>
      <w:r w:rsidR="001558D3" w:rsidRPr="000B325A">
        <w:t xml:space="preserve">navrhuji klasifikovat </w:t>
      </w:r>
      <w:r>
        <w:t xml:space="preserve">pouze </w:t>
      </w:r>
      <w:r w:rsidR="001558D3" w:rsidRPr="000B325A">
        <w:t xml:space="preserve">stupněm </w:t>
      </w:r>
      <w:r w:rsidR="001558D3" w:rsidRPr="00915A0E">
        <w:rPr>
          <w:i/>
        </w:rPr>
        <w:t>„</w:t>
      </w:r>
      <w:r w:rsidRPr="00915A0E">
        <w:rPr>
          <w:i/>
        </w:rPr>
        <w:t xml:space="preserve">velmi </w:t>
      </w:r>
      <w:r w:rsidR="001558D3" w:rsidRPr="000B325A">
        <w:rPr>
          <w:i/>
        </w:rPr>
        <w:t>dobře“.</w:t>
      </w:r>
      <w:r w:rsidR="001558D3" w:rsidRPr="000B325A">
        <w:t xml:space="preserve"> </w:t>
      </w:r>
    </w:p>
    <w:p w:rsidR="001558D3" w:rsidRPr="000B325A" w:rsidRDefault="001558D3" w:rsidP="001558D3">
      <w:pPr>
        <w:spacing w:line="360" w:lineRule="auto"/>
        <w:jc w:val="both"/>
      </w:pPr>
    </w:p>
    <w:p w:rsidR="001558D3" w:rsidRPr="000B325A" w:rsidRDefault="001558D3" w:rsidP="001558D3">
      <w:pPr>
        <w:spacing w:line="360" w:lineRule="auto"/>
        <w:jc w:val="both"/>
      </w:pPr>
    </w:p>
    <w:p w:rsidR="001558D3" w:rsidRPr="000B325A" w:rsidRDefault="001558D3" w:rsidP="001558D3">
      <w:pPr>
        <w:spacing w:line="360" w:lineRule="auto"/>
        <w:jc w:val="both"/>
      </w:pPr>
      <w:r>
        <w:t>Sezemice,</w:t>
      </w:r>
      <w:r w:rsidRPr="000B325A">
        <w:t xml:space="preserve"> </w:t>
      </w:r>
      <w:r w:rsidR="00915A0E">
        <w:t>21</w:t>
      </w:r>
      <w:r w:rsidRPr="000B325A">
        <w:t xml:space="preserve">. </w:t>
      </w:r>
      <w:r w:rsidR="00915A0E">
        <w:t>7</w:t>
      </w:r>
      <w:r w:rsidRPr="000B325A">
        <w:t>. 20</w:t>
      </w:r>
      <w:r w:rsidR="00CE5376">
        <w:t>16</w:t>
      </w:r>
      <w:r w:rsidRPr="000B325A">
        <w:tab/>
      </w:r>
      <w:r w:rsidRPr="000B325A">
        <w:tab/>
      </w:r>
      <w:r w:rsidR="007419F5">
        <w:t xml:space="preserve"> </w:t>
      </w:r>
      <w:r w:rsidR="009B7967">
        <w:t xml:space="preserve">                                        </w:t>
      </w:r>
      <w:r w:rsidR="00CE5376">
        <w:t xml:space="preserve">        </w:t>
      </w:r>
      <w:r w:rsidR="009B7967">
        <w:t xml:space="preserve">    </w:t>
      </w:r>
      <w:r>
        <w:t xml:space="preserve">doc. </w:t>
      </w:r>
      <w:r w:rsidRPr="000B325A">
        <w:t>Mgr. Pavel Marek, Ph.D.</w:t>
      </w:r>
    </w:p>
    <w:p w:rsidR="008C6715" w:rsidRDefault="008C6715"/>
    <w:sectPr w:rsidR="008C67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6D" w:rsidRDefault="00F7086D" w:rsidP="00EF65DF">
      <w:r>
        <w:separator/>
      </w:r>
    </w:p>
  </w:endnote>
  <w:endnote w:type="continuationSeparator" w:id="0">
    <w:p w:rsidR="00F7086D" w:rsidRDefault="00F7086D" w:rsidP="00EF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310910"/>
      <w:docPartObj>
        <w:docPartGallery w:val="Page Numbers (Bottom of Page)"/>
        <w:docPartUnique/>
      </w:docPartObj>
    </w:sdtPr>
    <w:sdtEndPr/>
    <w:sdtContent>
      <w:p w:rsidR="00EF65DF" w:rsidRDefault="00EF65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8C">
          <w:rPr>
            <w:noProof/>
          </w:rPr>
          <w:t>3</w:t>
        </w:r>
        <w:r>
          <w:fldChar w:fldCharType="end"/>
        </w:r>
      </w:p>
    </w:sdtContent>
  </w:sdt>
  <w:p w:rsidR="00EF65DF" w:rsidRDefault="00EF65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6D" w:rsidRDefault="00F7086D" w:rsidP="00EF65DF">
      <w:r>
        <w:separator/>
      </w:r>
    </w:p>
  </w:footnote>
  <w:footnote w:type="continuationSeparator" w:id="0">
    <w:p w:rsidR="00F7086D" w:rsidRDefault="00F7086D" w:rsidP="00EF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6C"/>
    <w:rsid w:val="00002FA2"/>
    <w:rsid w:val="00033EFC"/>
    <w:rsid w:val="00057528"/>
    <w:rsid w:val="000C64C9"/>
    <w:rsid w:val="000E7173"/>
    <w:rsid w:val="00111AC9"/>
    <w:rsid w:val="001558D3"/>
    <w:rsid w:val="00157EB8"/>
    <w:rsid w:val="0016088F"/>
    <w:rsid w:val="0016306C"/>
    <w:rsid w:val="001900D3"/>
    <w:rsid w:val="001A6B28"/>
    <w:rsid w:val="001C7B37"/>
    <w:rsid w:val="001E00BC"/>
    <w:rsid w:val="00213827"/>
    <w:rsid w:val="00265CE5"/>
    <w:rsid w:val="0027322B"/>
    <w:rsid w:val="002D63DE"/>
    <w:rsid w:val="0031249F"/>
    <w:rsid w:val="00362325"/>
    <w:rsid w:val="003A0206"/>
    <w:rsid w:val="003F1E8B"/>
    <w:rsid w:val="00401072"/>
    <w:rsid w:val="00485FE3"/>
    <w:rsid w:val="004B7A08"/>
    <w:rsid w:val="00522629"/>
    <w:rsid w:val="0053066A"/>
    <w:rsid w:val="0055001A"/>
    <w:rsid w:val="00565B67"/>
    <w:rsid w:val="00584D4B"/>
    <w:rsid w:val="005A3FAE"/>
    <w:rsid w:val="005E078A"/>
    <w:rsid w:val="005E6368"/>
    <w:rsid w:val="006400AC"/>
    <w:rsid w:val="00674588"/>
    <w:rsid w:val="006E29B6"/>
    <w:rsid w:val="006E6EE8"/>
    <w:rsid w:val="00701A00"/>
    <w:rsid w:val="007419F5"/>
    <w:rsid w:val="00772A41"/>
    <w:rsid w:val="00802A91"/>
    <w:rsid w:val="00830EF4"/>
    <w:rsid w:val="008776F0"/>
    <w:rsid w:val="008C6715"/>
    <w:rsid w:val="009122B4"/>
    <w:rsid w:val="00915A0E"/>
    <w:rsid w:val="00977F76"/>
    <w:rsid w:val="009B2C1A"/>
    <w:rsid w:val="009B7967"/>
    <w:rsid w:val="009C1D6C"/>
    <w:rsid w:val="009D5514"/>
    <w:rsid w:val="00A43C76"/>
    <w:rsid w:val="00A7243F"/>
    <w:rsid w:val="00AC1962"/>
    <w:rsid w:val="00AD7547"/>
    <w:rsid w:val="00AF21B6"/>
    <w:rsid w:val="00AF3C66"/>
    <w:rsid w:val="00B10CB2"/>
    <w:rsid w:val="00B35D63"/>
    <w:rsid w:val="00B64F7C"/>
    <w:rsid w:val="00B83E40"/>
    <w:rsid w:val="00B964CD"/>
    <w:rsid w:val="00C02A92"/>
    <w:rsid w:val="00C35842"/>
    <w:rsid w:val="00C57B4C"/>
    <w:rsid w:val="00CC02FA"/>
    <w:rsid w:val="00CE290C"/>
    <w:rsid w:val="00CE5376"/>
    <w:rsid w:val="00D23FC2"/>
    <w:rsid w:val="00DE4D8C"/>
    <w:rsid w:val="00DF48BD"/>
    <w:rsid w:val="00E14565"/>
    <w:rsid w:val="00E17E36"/>
    <w:rsid w:val="00E96937"/>
    <w:rsid w:val="00EA2F9E"/>
    <w:rsid w:val="00EF5583"/>
    <w:rsid w:val="00EF65DF"/>
    <w:rsid w:val="00F2322A"/>
    <w:rsid w:val="00F61D78"/>
    <w:rsid w:val="00F7086D"/>
    <w:rsid w:val="00F97F46"/>
    <w:rsid w:val="00FA344B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38E1B-C40F-4508-8B5A-B83FA3F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D6C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5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5DF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F65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5DF"/>
    <w:rPr>
      <w:rFonts w:eastAsia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F65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65DF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C43D-6F8B-4782-BFB4-60C9A006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2016-07-29T06:42:00Z</cp:lastPrinted>
  <dcterms:created xsi:type="dcterms:W3CDTF">2016-07-28T21:55:00Z</dcterms:created>
  <dcterms:modified xsi:type="dcterms:W3CDTF">2016-07-29T06:50:00Z</dcterms:modified>
</cp:coreProperties>
</file>