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8F" w:rsidRPr="00B86DE9" w:rsidRDefault="00250F8F" w:rsidP="00250F8F">
      <w:pPr>
        <w:pStyle w:val="Heading4"/>
        <w:spacing w:before="60"/>
        <w:jc w:val="center"/>
        <w:rPr>
          <w:bCs/>
          <w:iCs/>
          <w:sz w:val="28"/>
          <w:szCs w:val="28"/>
          <w:u w:val="none"/>
        </w:rPr>
      </w:pPr>
      <w:r w:rsidRPr="00B86DE9">
        <w:rPr>
          <w:bCs/>
          <w:iCs/>
          <w:sz w:val="28"/>
          <w:szCs w:val="28"/>
          <w:u w:val="none"/>
        </w:rPr>
        <w:t>UNIVERZITA PARDUBICE</w:t>
      </w:r>
    </w:p>
    <w:p w:rsidR="00250F8F" w:rsidRPr="00B86DE9" w:rsidRDefault="00250F8F" w:rsidP="00250F8F">
      <w:pPr>
        <w:pStyle w:val="Heading4"/>
        <w:spacing w:before="60"/>
        <w:jc w:val="center"/>
        <w:rPr>
          <w:b/>
          <w:bCs/>
          <w:iCs/>
          <w:u w:val="none"/>
        </w:rPr>
      </w:pPr>
      <w:r w:rsidRPr="00B86DE9">
        <w:rPr>
          <w:b/>
          <w:bCs/>
          <w:iCs/>
          <w:u w:val="none"/>
        </w:rPr>
        <w:t>Fakulta filozofická</w:t>
      </w:r>
    </w:p>
    <w:p w:rsidR="00C81484" w:rsidRPr="00B86DE9" w:rsidRDefault="00C81484" w:rsidP="00C81484">
      <w:pPr>
        <w:jc w:val="center"/>
        <w:rPr>
          <w:b/>
        </w:rPr>
      </w:pPr>
      <w:r w:rsidRPr="00B86DE9">
        <w:rPr>
          <w:b/>
        </w:rPr>
        <w:t>Katedra anglistiky a amerikanistiky</w:t>
      </w:r>
    </w:p>
    <w:p w:rsidR="00CD656D" w:rsidRPr="00B86DE9" w:rsidRDefault="00CD656D" w:rsidP="00250F8F">
      <w:pPr>
        <w:spacing w:before="60"/>
        <w:jc w:val="center"/>
        <w:rPr>
          <w:b/>
          <w:sz w:val="28"/>
          <w:szCs w:val="28"/>
        </w:rPr>
      </w:pPr>
    </w:p>
    <w:p w:rsidR="00250F8F" w:rsidRPr="00B86DE9" w:rsidRDefault="00250F8F" w:rsidP="00250F8F">
      <w:pPr>
        <w:spacing w:before="60"/>
        <w:jc w:val="center"/>
        <w:rPr>
          <w:b/>
          <w:sz w:val="32"/>
          <w:szCs w:val="32"/>
        </w:rPr>
      </w:pPr>
      <w:r w:rsidRPr="00B86DE9">
        <w:rPr>
          <w:b/>
          <w:sz w:val="32"/>
          <w:szCs w:val="32"/>
        </w:rPr>
        <w:t xml:space="preserve">Posudek </w:t>
      </w:r>
      <w:r w:rsidR="007D2F2E" w:rsidRPr="007D2F2E">
        <w:rPr>
          <w:b/>
          <w:sz w:val="32"/>
          <w:szCs w:val="32"/>
        </w:rPr>
        <w:t>vedoucího</w:t>
      </w:r>
      <w:r w:rsidR="007D2F2E" w:rsidRPr="00B86DE9">
        <w:t xml:space="preserve"> </w:t>
      </w:r>
      <w:r w:rsidR="00455C97">
        <w:rPr>
          <w:b/>
          <w:sz w:val="32"/>
          <w:szCs w:val="32"/>
        </w:rPr>
        <w:t xml:space="preserve">bakalářské </w:t>
      </w:r>
      <w:r w:rsidRPr="00B86DE9">
        <w:rPr>
          <w:b/>
          <w:sz w:val="32"/>
          <w:szCs w:val="32"/>
        </w:rPr>
        <w:t>práce</w:t>
      </w:r>
    </w:p>
    <w:p w:rsidR="005B2528" w:rsidRPr="00B86DE9" w:rsidRDefault="005B2528" w:rsidP="00250F8F">
      <w:pPr>
        <w:spacing w:before="60"/>
        <w:jc w:val="center"/>
        <w:rPr>
          <w:b/>
          <w:sz w:val="32"/>
          <w:szCs w:val="32"/>
        </w:rPr>
      </w:pPr>
      <w:r w:rsidRPr="00B86DE9">
        <w:rPr>
          <w:b/>
          <w:sz w:val="32"/>
          <w:szCs w:val="32"/>
        </w:rPr>
        <w:t>(Literárně-kulturní)</w:t>
      </w:r>
    </w:p>
    <w:p w:rsidR="0098138A" w:rsidRPr="00B86DE9" w:rsidRDefault="0098138A" w:rsidP="00250F8F">
      <w:pPr>
        <w:spacing w:before="60"/>
        <w:jc w:val="both"/>
        <w:rPr>
          <w:b/>
        </w:rPr>
      </w:pPr>
    </w:p>
    <w:p w:rsidR="00250F8F" w:rsidRPr="00B86DE9" w:rsidRDefault="00250F8F" w:rsidP="00D25F62">
      <w:pPr>
        <w:jc w:val="both"/>
        <w:rPr>
          <w:b/>
        </w:rPr>
      </w:pPr>
      <w:r w:rsidRPr="00B86DE9">
        <w:rPr>
          <w:b/>
        </w:rPr>
        <w:t>Autor práce:</w:t>
      </w:r>
      <w:r w:rsidR="001131E2" w:rsidRPr="00B86DE9">
        <w:rPr>
          <w:b/>
        </w:rPr>
        <w:t xml:space="preserve"> </w:t>
      </w:r>
      <w:r w:rsidR="00E94257" w:rsidRPr="00B86DE9">
        <w:rPr>
          <w:b/>
        </w:rPr>
        <w:tab/>
      </w:r>
      <w:r w:rsidR="00E94257" w:rsidRPr="00B86DE9">
        <w:rPr>
          <w:b/>
        </w:rPr>
        <w:tab/>
      </w:r>
      <w:r w:rsidR="00455C97">
        <w:rPr>
          <w:szCs w:val="20"/>
        </w:rPr>
        <w:t>Lukáš Ročňák</w:t>
      </w:r>
    </w:p>
    <w:p w:rsidR="0023410E" w:rsidRPr="00B86DE9" w:rsidRDefault="00E02AD3" w:rsidP="00D25F62">
      <w:pPr>
        <w:jc w:val="both"/>
        <w:rPr>
          <w:b/>
        </w:rPr>
      </w:pPr>
      <w:r w:rsidRPr="00B86DE9">
        <w:rPr>
          <w:b/>
        </w:rPr>
        <w:t>Studijní obor:</w:t>
      </w:r>
      <w:r w:rsidR="001131E2" w:rsidRPr="00B86DE9">
        <w:rPr>
          <w:b/>
        </w:rPr>
        <w:t xml:space="preserve"> </w:t>
      </w:r>
      <w:r w:rsidR="00E94257" w:rsidRPr="00B86DE9">
        <w:rPr>
          <w:b/>
        </w:rPr>
        <w:tab/>
      </w:r>
      <w:r w:rsidR="007D2F2E">
        <w:t>AJ</w:t>
      </w:r>
      <w:r w:rsidR="00455C97">
        <w:t>OP</w:t>
      </w:r>
    </w:p>
    <w:p w:rsidR="00250F8F" w:rsidRPr="00B86DE9" w:rsidRDefault="00250F8F" w:rsidP="00455C97">
      <w:pPr>
        <w:jc w:val="both"/>
        <w:rPr>
          <w:b/>
        </w:rPr>
      </w:pPr>
      <w:r w:rsidRPr="00B86DE9">
        <w:rPr>
          <w:b/>
        </w:rPr>
        <w:t>Název práce:</w:t>
      </w:r>
      <w:r w:rsidR="001131E2" w:rsidRPr="00B86DE9">
        <w:rPr>
          <w:b/>
        </w:rPr>
        <w:t xml:space="preserve"> </w:t>
      </w:r>
      <w:r w:rsidR="00E94257" w:rsidRPr="00B86DE9">
        <w:rPr>
          <w:b/>
        </w:rPr>
        <w:tab/>
      </w:r>
      <w:r w:rsidR="00E94257" w:rsidRPr="00B86DE9">
        <w:rPr>
          <w:b/>
        </w:rPr>
        <w:tab/>
      </w:r>
      <w:r w:rsidR="00455C97">
        <w:rPr>
          <w:szCs w:val="20"/>
        </w:rPr>
        <w:t>The Influence</w:t>
      </w:r>
      <w:r w:rsidR="00455C97">
        <w:rPr>
          <w:szCs w:val="20"/>
          <w:lang w:val="en-US"/>
        </w:rPr>
        <w:t xml:space="preserve"> of African-American Music on </w:t>
      </w:r>
      <w:r w:rsidR="00455C97" w:rsidRPr="00455C97">
        <w:rPr>
          <w:i/>
          <w:szCs w:val="20"/>
          <w:lang w:val="en-US"/>
        </w:rPr>
        <w:t>Montage of a Dream Deferred</w:t>
      </w:r>
      <w:r w:rsidR="00455C97">
        <w:rPr>
          <w:szCs w:val="20"/>
          <w:lang w:val="en-US"/>
        </w:rPr>
        <w:t xml:space="preserve"> </w:t>
      </w:r>
    </w:p>
    <w:p w:rsidR="00250F8F" w:rsidRPr="00B86DE9" w:rsidRDefault="00250F8F" w:rsidP="00D25F62">
      <w:r w:rsidRPr="00B86DE9">
        <w:rPr>
          <w:b/>
        </w:rPr>
        <w:t>Akademický rok:</w:t>
      </w:r>
      <w:r w:rsidR="001131E2" w:rsidRPr="00B86DE9">
        <w:rPr>
          <w:b/>
        </w:rPr>
        <w:t xml:space="preserve"> </w:t>
      </w:r>
      <w:r w:rsidR="00E94257" w:rsidRPr="00B86DE9">
        <w:rPr>
          <w:b/>
        </w:rPr>
        <w:tab/>
      </w:r>
      <w:r w:rsidR="00DE2DEE" w:rsidRPr="00B86DE9">
        <w:t>201</w:t>
      </w:r>
      <w:r w:rsidR="008F434F">
        <w:t>4/2015</w:t>
      </w:r>
    </w:p>
    <w:p w:rsidR="00250F8F" w:rsidRPr="00B86DE9" w:rsidRDefault="00250F8F" w:rsidP="00D25F62">
      <w:pPr>
        <w:jc w:val="both"/>
        <w:rPr>
          <w:b/>
        </w:rPr>
      </w:pPr>
      <w:r w:rsidRPr="00B86DE9">
        <w:rPr>
          <w:b/>
        </w:rPr>
        <w:t>Vedoucí práce:</w:t>
      </w:r>
      <w:r w:rsidR="001131E2" w:rsidRPr="00B86DE9">
        <w:rPr>
          <w:b/>
        </w:rPr>
        <w:t xml:space="preserve"> </w:t>
      </w:r>
      <w:r w:rsidR="00E94257" w:rsidRPr="00B86DE9">
        <w:rPr>
          <w:b/>
        </w:rPr>
        <w:tab/>
      </w:r>
      <w:r w:rsidR="00B86DE9" w:rsidRPr="00B86DE9">
        <w:t>Daniel Sampey, MFA</w:t>
      </w:r>
    </w:p>
    <w:p w:rsidR="00FA23BB" w:rsidRPr="00B86DE9" w:rsidRDefault="00251D2F" w:rsidP="00D25F62">
      <w:pPr>
        <w:jc w:val="both"/>
        <w:rPr>
          <w:b/>
        </w:rPr>
      </w:pPr>
      <w:r w:rsidRPr="00B86DE9">
        <w:rPr>
          <w:b/>
        </w:rPr>
        <w:t>Oponent práce:</w:t>
      </w:r>
      <w:r w:rsidR="001131E2" w:rsidRPr="00B86DE9">
        <w:rPr>
          <w:b/>
        </w:rPr>
        <w:t xml:space="preserve"> </w:t>
      </w:r>
      <w:r w:rsidR="00E94257" w:rsidRPr="00B86DE9">
        <w:rPr>
          <w:b/>
        </w:rPr>
        <w:tab/>
      </w:r>
      <w:r w:rsidR="00B86DE9" w:rsidRPr="00B86DE9">
        <w:t>doc.</w:t>
      </w:r>
      <w:r w:rsidR="00B86DE9" w:rsidRPr="00B86DE9">
        <w:rPr>
          <w:b/>
        </w:rPr>
        <w:t xml:space="preserve"> </w:t>
      </w:r>
      <w:r w:rsidR="00B86DE9" w:rsidRPr="00B86DE9">
        <w:t>Mgr.</w:t>
      </w:r>
      <w:r w:rsidR="00B86DE9" w:rsidRPr="00B86DE9">
        <w:rPr>
          <w:b/>
        </w:rPr>
        <w:t xml:space="preserve"> </w:t>
      </w:r>
      <w:r w:rsidR="00B86DE9" w:rsidRPr="00B86DE9">
        <w:t>Šárka Bubíková, Ph.D.</w:t>
      </w:r>
      <w:r w:rsidR="00B86DE9">
        <w:t xml:space="preserve"> </w:t>
      </w:r>
    </w:p>
    <w:p w:rsidR="00C656A6" w:rsidRPr="00B86DE9" w:rsidRDefault="00C656A6" w:rsidP="00C656A6">
      <w:pPr>
        <w:jc w:val="both"/>
        <w:rPr>
          <w:b/>
        </w:rPr>
      </w:pPr>
    </w:p>
    <w:tbl>
      <w:tblPr>
        <w:tblW w:w="11001"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60"/>
        <w:gridCol w:w="7364"/>
        <w:gridCol w:w="1477"/>
      </w:tblGrid>
      <w:tr w:rsidR="009F6951" w:rsidRPr="00B86DE9" w:rsidTr="0051466D">
        <w:tc>
          <w:tcPr>
            <w:tcW w:w="9524" w:type="dxa"/>
            <w:gridSpan w:val="2"/>
            <w:tcBorders>
              <w:top w:val="double" w:sz="4" w:space="0" w:color="auto"/>
              <w:left w:val="double" w:sz="4" w:space="0" w:color="auto"/>
              <w:bottom w:val="double" w:sz="4" w:space="0" w:color="auto"/>
              <w:right w:val="single" w:sz="2" w:space="0" w:color="auto"/>
            </w:tcBorders>
            <w:vAlign w:val="center"/>
          </w:tcPr>
          <w:p w:rsidR="009F6951" w:rsidRPr="00B86DE9" w:rsidRDefault="009F6951" w:rsidP="00FA23BB">
            <w:pPr>
              <w:jc w:val="center"/>
              <w:rPr>
                <w:b/>
              </w:rPr>
            </w:pPr>
            <w:r w:rsidRPr="00B86DE9">
              <w:rPr>
                <w:b/>
                <w:sz w:val="28"/>
                <w:szCs w:val="28"/>
              </w:rPr>
              <w:t xml:space="preserve">Kritéria  hodnocení </w:t>
            </w:r>
          </w:p>
        </w:tc>
        <w:tc>
          <w:tcPr>
            <w:tcW w:w="1477" w:type="dxa"/>
            <w:tcBorders>
              <w:top w:val="double" w:sz="4" w:space="0" w:color="auto"/>
              <w:left w:val="single" w:sz="2" w:space="0" w:color="auto"/>
              <w:bottom w:val="double" w:sz="4" w:space="0" w:color="auto"/>
              <w:right w:val="double" w:sz="4" w:space="0" w:color="auto"/>
            </w:tcBorders>
            <w:vAlign w:val="center"/>
          </w:tcPr>
          <w:p w:rsidR="009F6951" w:rsidRPr="00B86DE9" w:rsidRDefault="009F6951" w:rsidP="00FA23BB">
            <w:pPr>
              <w:jc w:val="center"/>
              <w:rPr>
                <w:b/>
              </w:rPr>
            </w:pPr>
            <w:r w:rsidRPr="00B86DE9">
              <w:rPr>
                <w:b/>
              </w:rPr>
              <w:t>Hodnocení</w:t>
            </w:r>
          </w:p>
          <w:p w:rsidR="009F6951" w:rsidRPr="00B86DE9" w:rsidRDefault="009F6951" w:rsidP="00FA23BB">
            <w:pPr>
              <w:jc w:val="center"/>
              <w:rPr>
                <w:b/>
              </w:rPr>
            </w:pPr>
            <w:r w:rsidRPr="00B86DE9">
              <w:rPr>
                <w:b/>
              </w:rPr>
              <w:t>1 - 2 - 3 – 4</w:t>
            </w:r>
          </w:p>
        </w:tc>
      </w:tr>
      <w:tr w:rsidR="00251D2F" w:rsidRPr="00B86DE9" w:rsidTr="001805BC">
        <w:trPr>
          <w:trHeight w:val="397"/>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251D2F" w:rsidRPr="00B86DE9" w:rsidRDefault="00251D2F" w:rsidP="000A0C25">
            <w:pPr>
              <w:jc w:val="center"/>
              <w:rPr>
                <w:b/>
              </w:rPr>
            </w:pPr>
            <w:r w:rsidRPr="00B86DE9">
              <w:rPr>
                <w:b/>
              </w:rPr>
              <w:t>Všeobecná charakteristika</w:t>
            </w:r>
          </w:p>
          <w:p w:rsidR="00251D2F" w:rsidRPr="00B86DE9" w:rsidRDefault="00251D2F" w:rsidP="009F6951">
            <w:pPr>
              <w:jc w:val="center"/>
              <w:rPr>
                <w:b/>
                <w:highlight w:val="yellow"/>
              </w:rPr>
            </w:pPr>
          </w:p>
        </w:tc>
        <w:tc>
          <w:tcPr>
            <w:tcW w:w="7364" w:type="dxa"/>
            <w:tcBorders>
              <w:top w:val="single" w:sz="4" w:space="0" w:color="auto"/>
              <w:left w:val="single" w:sz="4" w:space="0" w:color="auto"/>
              <w:bottom w:val="single" w:sz="4" w:space="0" w:color="auto"/>
              <w:right w:val="single" w:sz="2" w:space="0" w:color="auto"/>
            </w:tcBorders>
          </w:tcPr>
          <w:p w:rsidR="00251D2F" w:rsidRPr="00B86DE9" w:rsidRDefault="00251D2F" w:rsidP="009F6951">
            <w:pPr>
              <w:rPr>
                <w:b/>
              </w:rPr>
            </w:pPr>
            <w:r w:rsidRPr="00B86DE9">
              <w:rPr>
                <w:sz w:val="22"/>
                <w:szCs w:val="22"/>
              </w:rPr>
              <w:t>Splnění zásad zpracování práce a naplnění stanoveného cíle</w:t>
            </w:r>
          </w:p>
        </w:tc>
        <w:tc>
          <w:tcPr>
            <w:tcW w:w="1477" w:type="dxa"/>
            <w:vMerge w:val="restart"/>
            <w:tcBorders>
              <w:top w:val="single" w:sz="4" w:space="0" w:color="auto"/>
              <w:left w:val="single" w:sz="2" w:space="0" w:color="auto"/>
              <w:right w:val="double" w:sz="4" w:space="0" w:color="auto"/>
            </w:tcBorders>
            <w:vAlign w:val="center"/>
          </w:tcPr>
          <w:p w:rsidR="00251D2F" w:rsidRPr="00B86DE9" w:rsidRDefault="003A223F" w:rsidP="00FA23BB">
            <w:pPr>
              <w:jc w:val="center"/>
              <w:rPr>
                <w:b/>
              </w:rPr>
            </w:pPr>
            <w:r>
              <w:rPr>
                <w:b/>
              </w:rPr>
              <w:t>1</w:t>
            </w:r>
          </w:p>
        </w:tc>
      </w:tr>
      <w:tr w:rsidR="00251D2F" w:rsidRPr="00B86DE9" w:rsidTr="001805BC">
        <w:trPr>
          <w:trHeight w:val="397"/>
        </w:trPr>
        <w:tc>
          <w:tcPr>
            <w:tcW w:w="216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251D2F" w:rsidRPr="00B86DE9" w:rsidRDefault="00251D2F" w:rsidP="00314626">
            <w:pPr>
              <w:rPr>
                <w:sz w:val="22"/>
                <w:szCs w:val="22"/>
              </w:rPr>
            </w:pPr>
          </w:p>
        </w:tc>
        <w:tc>
          <w:tcPr>
            <w:tcW w:w="7364" w:type="dxa"/>
            <w:tcBorders>
              <w:top w:val="single" w:sz="4" w:space="0" w:color="auto"/>
              <w:left w:val="single" w:sz="4" w:space="0" w:color="auto"/>
              <w:bottom w:val="single" w:sz="4" w:space="0" w:color="auto"/>
              <w:right w:val="single" w:sz="2" w:space="0" w:color="auto"/>
            </w:tcBorders>
          </w:tcPr>
          <w:p w:rsidR="00251D2F" w:rsidRPr="00B86DE9" w:rsidRDefault="00251D2F" w:rsidP="009F6951">
            <w:pPr>
              <w:rPr>
                <w:b/>
              </w:rPr>
            </w:pPr>
            <w:r w:rsidRPr="00B86DE9">
              <w:rPr>
                <w:sz w:val="22"/>
                <w:szCs w:val="22"/>
              </w:rPr>
              <w:t>Logická struktura práce</w:t>
            </w:r>
          </w:p>
        </w:tc>
        <w:tc>
          <w:tcPr>
            <w:tcW w:w="1477" w:type="dxa"/>
            <w:vMerge/>
            <w:tcBorders>
              <w:left w:val="single" w:sz="2" w:space="0" w:color="auto"/>
              <w:right w:val="double" w:sz="4" w:space="0" w:color="auto"/>
            </w:tcBorders>
            <w:vAlign w:val="center"/>
          </w:tcPr>
          <w:p w:rsidR="00251D2F" w:rsidRPr="00B86DE9" w:rsidRDefault="00251D2F" w:rsidP="00FA23BB">
            <w:pPr>
              <w:jc w:val="center"/>
              <w:rPr>
                <w:b/>
              </w:rPr>
            </w:pPr>
          </w:p>
        </w:tc>
      </w:tr>
      <w:tr w:rsidR="00251D2F" w:rsidRPr="00B86DE9" w:rsidTr="001805BC">
        <w:trPr>
          <w:trHeight w:val="397"/>
        </w:trPr>
        <w:tc>
          <w:tcPr>
            <w:tcW w:w="216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251D2F" w:rsidRPr="00B86DE9" w:rsidRDefault="00251D2F" w:rsidP="00314626">
            <w:pPr>
              <w:rPr>
                <w:sz w:val="22"/>
                <w:szCs w:val="22"/>
              </w:rPr>
            </w:pPr>
          </w:p>
        </w:tc>
        <w:tc>
          <w:tcPr>
            <w:tcW w:w="7364" w:type="dxa"/>
            <w:tcBorders>
              <w:top w:val="single" w:sz="4" w:space="0" w:color="auto"/>
              <w:left w:val="single" w:sz="4" w:space="0" w:color="auto"/>
              <w:bottom w:val="single" w:sz="4" w:space="0" w:color="auto"/>
              <w:right w:val="single" w:sz="2" w:space="0" w:color="auto"/>
            </w:tcBorders>
          </w:tcPr>
          <w:p w:rsidR="00251D2F" w:rsidRPr="00B86DE9" w:rsidRDefault="00251D2F" w:rsidP="009F6951">
            <w:pPr>
              <w:rPr>
                <w:b/>
              </w:rPr>
            </w:pPr>
            <w:r w:rsidRPr="00B86DE9">
              <w:rPr>
                <w:sz w:val="22"/>
                <w:szCs w:val="22"/>
              </w:rPr>
              <w:t>Vyváženost teoretické a praktické části</w:t>
            </w:r>
          </w:p>
        </w:tc>
        <w:tc>
          <w:tcPr>
            <w:tcW w:w="1477" w:type="dxa"/>
            <w:vMerge/>
            <w:tcBorders>
              <w:left w:val="single" w:sz="2" w:space="0" w:color="auto"/>
              <w:bottom w:val="single" w:sz="4" w:space="0" w:color="auto"/>
              <w:right w:val="double" w:sz="4" w:space="0" w:color="auto"/>
            </w:tcBorders>
            <w:vAlign w:val="center"/>
          </w:tcPr>
          <w:p w:rsidR="00251D2F" w:rsidRPr="00B86DE9" w:rsidRDefault="00251D2F" w:rsidP="00FA23BB">
            <w:pPr>
              <w:jc w:val="center"/>
              <w:rPr>
                <w:b/>
              </w:rPr>
            </w:pPr>
          </w:p>
        </w:tc>
      </w:tr>
      <w:tr w:rsidR="00251D2F" w:rsidRPr="00B86DE9" w:rsidTr="00251D2F">
        <w:trPr>
          <w:trHeight w:val="397"/>
        </w:trPr>
        <w:tc>
          <w:tcPr>
            <w:tcW w:w="2160" w:type="dxa"/>
            <w:vMerge w:val="restart"/>
            <w:tcBorders>
              <w:top w:val="single" w:sz="4" w:space="0" w:color="auto"/>
              <w:left w:val="double" w:sz="4" w:space="0" w:color="auto"/>
              <w:bottom w:val="single" w:sz="4" w:space="0" w:color="auto"/>
              <w:right w:val="single" w:sz="2" w:space="0" w:color="auto"/>
            </w:tcBorders>
            <w:shd w:val="clear" w:color="auto" w:fill="E0E0E0"/>
            <w:vAlign w:val="center"/>
          </w:tcPr>
          <w:p w:rsidR="00251D2F" w:rsidRPr="00B86DE9" w:rsidRDefault="00251D2F" w:rsidP="009F5166">
            <w:pPr>
              <w:jc w:val="center"/>
              <w:rPr>
                <w:b/>
              </w:rPr>
            </w:pPr>
            <w:r w:rsidRPr="00B86DE9">
              <w:rPr>
                <w:b/>
              </w:rPr>
              <w:t xml:space="preserve">Teoretická část </w:t>
            </w:r>
          </w:p>
        </w:tc>
        <w:tc>
          <w:tcPr>
            <w:tcW w:w="7364" w:type="dxa"/>
            <w:tcBorders>
              <w:top w:val="single" w:sz="4" w:space="0" w:color="auto"/>
              <w:left w:val="single" w:sz="2" w:space="0" w:color="auto"/>
              <w:bottom w:val="single" w:sz="4" w:space="0" w:color="auto"/>
              <w:right w:val="single" w:sz="2" w:space="0" w:color="auto"/>
            </w:tcBorders>
          </w:tcPr>
          <w:p w:rsidR="00251D2F" w:rsidRPr="00B86DE9" w:rsidRDefault="005B2528" w:rsidP="009F6951">
            <w:pPr>
              <w:rPr>
                <w:b/>
              </w:rPr>
            </w:pPr>
            <w:r w:rsidRPr="00B86DE9">
              <w:rPr>
                <w:sz w:val="22"/>
                <w:szCs w:val="22"/>
              </w:rPr>
              <w:t>Kvalita uvedení do širšího kontextu</w:t>
            </w:r>
          </w:p>
        </w:tc>
        <w:tc>
          <w:tcPr>
            <w:tcW w:w="1477" w:type="dxa"/>
            <w:vMerge w:val="restart"/>
            <w:tcBorders>
              <w:top w:val="single" w:sz="4" w:space="0" w:color="auto"/>
              <w:left w:val="single" w:sz="2" w:space="0" w:color="auto"/>
              <w:right w:val="double" w:sz="4" w:space="0" w:color="auto"/>
            </w:tcBorders>
            <w:vAlign w:val="center"/>
          </w:tcPr>
          <w:p w:rsidR="00251D2F" w:rsidRPr="00B86DE9" w:rsidRDefault="003A223F" w:rsidP="00FA23BB">
            <w:pPr>
              <w:jc w:val="center"/>
              <w:rPr>
                <w:b/>
              </w:rPr>
            </w:pPr>
            <w:r>
              <w:rPr>
                <w:b/>
              </w:rPr>
              <w:t>1</w:t>
            </w:r>
          </w:p>
        </w:tc>
      </w:tr>
      <w:tr w:rsidR="00251D2F" w:rsidRPr="00B86DE9" w:rsidTr="00251D2F">
        <w:trPr>
          <w:trHeight w:val="397"/>
        </w:trPr>
        <w:tc>
          <w:tcPr>
            <w:tcW w:w="2160" w:type="dxa"/>
            <w:vMerge/>
            <w:tcBorders>
              <w:top w:val="single" w:sz="4" w:space="0" w:color="auto"/>
              <w:left w:val="double" w:sz="4" w:space="0" w:color="auto"/>
              <w:bottom w:val="single" w:sz="4" w:space="0" w:color="auto"/>
              <w:right w:val="single" w:sz="2" w:space="0" w:color="auto"/>
            </w:tcBorders>
            <w:shd w:val="clear" w:color="auto" w:fill="E0E0E0"/>
            <w:vAlign w:val="center"/>
          </w:tcPr>
          <w:p w:rsidR="00251D2F" w:rsidRPr="00B86DE9" w:rsidRDefault="00251D2F" w:rsidP="009F5166">
            <w:pPr>
              <w:rPr>
                <w:sz w:val="22"/>
                <w:szCs w:val="22"/>
              </w:rPr>
            </w:pPr>
          </w:p>
        </w:tc>
        <w:tc>
          <w:tcPr>
            <w:tcW w:w="7364" w:type="dxa"/>
            <w:tcBorders>
              <w:top w:val="single" w:sz="4" w:space="0" w:color="auto"/>
              <w:left w:val="single" w:sz="2" w:space="0" w:color="auto"/>
              <w:bottom w:val="single" w:sz="4" w:space="0" w:color="auto"/>
              <w:right w:val="single" w:sz="2" w:space="0" w:color="auto"/>
            </w:tcBorders>
          </w:tcPr>
          <w:p w:rsidR="00251D2F" w:rsidRPr="00B86DE9" w:rsidRDefault="005B2528" w:rsidP="009F6951">
            <w:pPr>
              <w:rPr>
                <w:b/>
              </w:rPr>
            </w:pPr>
            <w:r w:rsidRPr="00B86DE9">
              <w:rPr>
                <w:sz w:val="22"/>
                <w:szCs w:val="22"/>
              </w:rPr>
              <w:t>Tematická relevance teoretického úvodu k cíli práce</w:t>
            </w:r>
          </w:p>
        </w:tc>
        <w:tc>
          <w:tcPr>
            <w:tcW w:w="1477" w:type="dxa"/>
            <w:vMerge/>
            <w:tcBorders>
              <w:left w:val="single" w:sz="2" w:space="0" w:color="auto"/>
              <w:right w:val="double" w:sz="4" w:space="0" w:color="auto"/>
            </w:tcBorders>
            <w:vAlign w:val="center"/>
          </w:tcPr>
          <w:p w:rsidR="00251D2F" w:rsidRPr="00B86DE9" w:rsidRDefault="00251D2F" w:rsidP="00FA23BB">
            <w:pPr>
              <w:jc w:val="center"/>
              <w:rPr>
                <w:b/>
              </w:rPr>
            </w:pPr>
          </w:p>
        </w:tc>
      </w:tr>
      <w:tr w:rsidR="00251D2F" w:rsidRPr="00B86DE9" w:rsidTr="00251D2F">
        <w:trPr>
          <w:trHeight w:val="397"/>
        </w:trPr>
        <w:tc>
          <w:tcPr>
            <w:tcW w:w="2160" w:type="dxa"/>
            <w:vMerge w:val="restart"/>
            <w:tcBorders>
              <w:top w:val="single" w:sz="4" w:space="0" w:color="auto"/>
              <w:left w:val="double" w:sz="4" w:space="0" w:color="auto"/>
              <w:bottom w:val="single" w:sz="4" w:space="0" w:color="auto"/>
              <w:right w:val="single" w:sz="2" w:space="0" w:color="auto"/>
            </w:tcBorders>
            <w:shd w:val="clear" w:color="auto" w:fill="E0E0E0"/>
            <w:vAlign w:val="center"/>
          </w:tcPr>
          <w:p w:rsidR="00251D2F" w:rsidRPr="00B86DE9" w:rsidRDefault="00251D2F" w:rsidP="00FA23BB">
            <w:pPr>
              <w:jc w:val="center"/>
              <w:rPr>
                <w:b/>
              </w:rPr>
            </w:pPr>
            <w:r w:rsidRPr="00B86DE9">
              <w:rPr>
                <w:b/>
              </w:rPr>
              <w:t xml:space="preserve">Praktická část </w:t>
            </w:r>
          </w:p>
        </w:tc>
        <w:tc>
          <w:tcPr>
            <w:tcW w:w="7364" w:type="dxa"/>
            <w:tcBorders>
              <w:top w:val="single" w:sz="4" w:space="0" w:color="auto"/>
              <w:left w:val="single" w:sz="2" w:space="0" w:color="auto"/>
              <w:bottom w:val="single" w:sz="4" w:space="0" w:color="auto"/>
              <w:right w:val="single" w:sz="2" w:space="0" w:color="auto"/>
            </w:tcBorders>
          </w:tcPr>
          <w:p w:rsidR="00251D2F" w:rsidRPr="00B86DE9" w:rsidRDefault="00251D2F" w:rsidP="009F6951">
            <w:pPr>
              <w:rPr>
                <w:b/>
              </w:rPr>
            </w:pPr>
            <w:r w:rsidRPr="00B86DE9">
              <w:rPr>
                <w:sz w:val="22"/>
                <w:szCs w:val="22"/>
              </w:rPr>
              <w:t xml:space="preserve">Vhodnost </w:t>
            </w:r>
            <w:r w:rsidR="00B134BD" w:rsidRPr="00B86DE9">
              <w:rPr>
                <w:sz w:val="22"/>
                <w:szCs w:val="22"/>
              </w:rPr>
              <w:t>využití primárních zdrojů pro podporu/ilustraci argumentace</w:t>
            </w:r>
          </w:p>
        </w:tc>
        <w:tc>
          <w:tcPr>
            <w:tcW w:w="1477" w:type="dxa"/>
            <w:vMerge w:val="restart"/>
            <w:tcBorders>
              <w:top w:val="single" w:sz="4" w:space="0" w:color="auto"/>
              <w:left w:val="single" w:sz="2" w:space="0" w:color="auto"/>
              <w:right w:val="double" w:sz="4" w:space="0" w:color="auto"/>
            </w:tcBorders>
            <w:vAlign w:val="center"/>
          </w:tcPr>
          <w:p w:rsidR="00251D2F" w:rsidRPr="00875D7E" w:rsidRDefault="003A223F" w:rsidP="00FA23BB">
            <w:pPr>
              <w:jc w:val="center"/>
              <w:rPr>
                <w:b/>
                <w:lang w:val="en-US"/>
              </w:rPr>
            </w:pPr>
            <w:r>
              <w:rPr>
                <w:b/>
              </w:rPr>
              <w:t>1/</w:t>
            </w:r>
            <w:r w:rsidR="008F434F">
              <w:rPr>
                <w:b/>
              </w:rPr>
              <w:t>2</w:t>
            </w:r>
          </w:p>
        </w:tc>
      </w:tr>
      <w:tr w:rsidR="00251D2F" w:rsidRPr="00B86DE9" w:rsidTr="00251D2F">
        <w:trPr>
          <w:trHeight w:val="397"/>
        </w:trPr>
        <w:tc>
          <w:tcPr>
            <w:tcW w:w="2160" w:type="dxa"/>
            <w:vMerge/>
            <w:tcBorders>
              <w:top w:val="single" w:sz="4" w:space="0" w:color="auto"/>
              <w:left w:val="double" w:sz="4" w:space="0" w:color="auto"/>
              <w:bottom w:val="single" w:sz="4" w:space="0" w:color="auto"/>
              <w:right w:val="single" w:sz="2" w:space="0" w:color="auto"/>
            </w:tcBorders>
            <w:shd w:val="clear" w:color="auto" w:fill="E0E0E0"/>
            <w:vAlign w:val="center"/>
          </w:tcPr>
          <w:p w:rsidR="00251D2F" w:rsidRPr="00B86DE9" w:rsidRDefault="00251D2F" w:rsidP="00FA23BB">
            <w:pPr>
              <w:jc w:val="both"/>
              <w:rPr>
                <w:color w:val="FF0000"/>
                <w:sz w:val="22"/>
                <w:szCs w:val="22"/>
              </w:rPr>
            </w:pPr>
          </w:p>
        </w:tc>
        <w:tc>
          <w:tcPr>
            <w:tcW w:w="7364" w:type="dxa"/>
            <w:tcBorders>
              <w:top w:val="single" w:sz="4" w:space="0" w:color="auto"/>
              <w:left w:val="single" w:sz="2" w:space="0" w:color="auto"/>
              <w:bottom w:val="single" w:sz="4" w:space="0" w:color="auto"/>
              <w:right w:val="single" w:sz="2" w:space="0" w:color="auto"/>
            </w:tcBorders>
          </w:tcPr>
          <w:p w:rsidR="00251D2F" w:rsidRPr="008F434F" w:rsidRDefault="00B134BD" w:rsidP="009F6951">
            <w:pPr>
              <w:rPr>
                <w:sz w:val="22"/>
                <w:szCs w:val="22"/>
              </w:rPr>
            </w:pPr>
            <w:r w:rsidRPr="008F434F">
              <w:rPr>
                <w:sz w:val="22"/>
                <w:szCs w:val="22"/>
              </w:rPr>
              <w:t>Rozsah a hloubka vlastní analýzy</w:t>
            </w:r>
          </w:p>
        </w:tc>
        <w:tc>
          <w:tcPr>
            <w:tcW w:w="1477" w:type="dxa"/>
            <w:vMerge/>
            <w:tcBorders>
              <w:left w:val="single" w:sz="2" w:space="0" w:color="auto"/>
              <w:right w:val="double" w:sz="4" w:space="0" w:color="auto"/>
            </w:tcBorders>
            <w:vAlign w:val="center"/>
          </w:tcPr>
          <w:p w:rsidR="00251D2F" w:rsidRPr="00B86DE9" w:rsidRDefault="00251D2F" w:rsidP="00FA23BB">
            <w:pPr>
              <w:jc w:val="center"/>
              <w:rPr>
                <w:b/>
              </w:rPr>
            </w:pPr>
          </w:p>
        </w:tc>
      </w:tr>
      <w:tr w:rsidR="00251D2F" w:rsidRPr="00B86DE9" w:rsidTr="00251D2F">
        <w:trPr>
          <w:trHeight w:val="397"/>
        </w:trPr>
        <w:tc>
          <w:tcPr>
            <w:tcW w:w="2160" w:type="dxa"/>
            <w:vMerge/>
            <w:tcBorders>
              <w:top w:val="single" w:sz="4" w:space="0" w:color="auto"/>
              <w:left w:val="double" w:sz="4" w:space="0" w:color="auto"/>
              <w:bottom w:val="single" w:sz="4" w:space="0" w:color="auto"/>
              <w:right w:val="single" w:sz="2" w:space="0" w:color="auto"/>
            </w:tcBorders>
            <w:shd w:val="clear" w:color="auto" w:fill="E0E0E0"/>
            <w:vAlign w:val="center"/>
          </w:tcPr>
          <w:p w:rsidR="00251D2F" w:rsidRPr="00B86DE9" w:rsidRDefault="00251D2F" w:rsidP="00FA23BB">
            <w:pPr>
              <w:jc w:val="both"/>
              <w:rPr>
                <w:sz w:val="22"/>
                <w:szCs w:val="22"/>
              </w:rPr>
            </w:pPr>
          </w:p>
        </w:tc>
        <w:tc>
          <w:tcPr>
            <w:tcW w:w="7364" w:type="dxa"/>
            <w:tcBorders>
              <w:top w:val="single" w:sz="4" w:space="0" w:color="auto"/>
              <w:left w:val="single" w:sz="2" w:space="0" w:color="auto"/>
              <w:bottom w:val="single" w:sz="4" w:space="0" w:color="auto"/>
              <w:right w:val="single" w:sz="2" w:space="0" w:color="auto"/>
            </w:tcBorders>
          </w:tcPr>
          <w:p w:rsidR="00251D2F" w:rsidRPr="00B86DE9" w:rsidRDefault="00251D2F" w:rsidP="009F6951">
            <w:pPr>
              <w:rPr>
                <w:b/>
              </w:rPr>
            </w:pPr>
            <w:r w:rsidRPr="00B86DE9">
              <w:rPr>
                <w:sz w:val="22"/>
                <w:szCs w:val="22"/>
              </w:rPr>
              <w:t xml:space="preserve">Relevantní a srozumitelná argumentace a interpretace </w:t>
            </w:r>
          </w:p>
        </w:tc>
        <w:tc>
          <w:tcPr>
            <w:tcW w:w="1477" w:type="dxa"/>
            <w:vMerge/>
            <w:tcBorders>
              <w:left w:val="single" w:sz="2" w:space="0" w:color="auto"/>
              <w:bottom w:val="single" w:sz="4" w:space="0" w:color="auto"/>
              <w:right w:val="double" w:sz="4" w:space="0" w:color="auto"/>
            </w:tcBorders>
            <w:vAlign w:val="center"/>
          </w:tcPr>
          <w:p w:rsidR="00251D2F" w:rsidRPr="00B86DE9" w:rsidRDefault="00251D2F" w:rsidP="00FA23BB">
            <w:pPr>
              <w:jc w:val="center"/>
              <w:rPr>
                <w:b/>
              </w:rPr>
            </w:pPr>
          </w:p>
        </w:tc>
      </w:tr>
      <w:tr w:rsidR="00251D2F" w:rsidRPr="00B86DE9" w:rsidTr="00251D2F">
        <w:trPr>
          <w:trHeight w:val="397"/>
        </w:trPr>
        <w:tc>
          <w:tcPr>
            <w:tcW w:w="2160" w:type="dxa"/>
            <w:vMerge w:val="restart"/>
            <w:tcBorders>
              <w:top w:val="single" w:sz="4" w:space="0" w:color="auto"/>
              <w:left w:val="double" w:sz="4" w:space="0" w:color="auto"/>
              <w:bottom w:val="single" w:sz="4" w:space="0" w:color="auto"/>
              <w:right w:val="single" w:sz="2" w:space="0" w:color="auto"/>
            </w:tcBorders>
            <w:shd w:val="clear" w:color="auto" w:fill="E0E0E0"/>
            <w:vAlign w:val="center"/>
          </w:tcPr>
          <w:p w:rsidR="00251D2F" w:rsidRPr="00B86DE9" w:rsidRDefault="00251D2F" w:rsidP="00FA23BB">
            <w:pPr>
              <w:jc w:val="center"/>
              <w:rPr>
                <w:b/>
              </w:rPr>
            </w:pPr>
            <w:r w:rsidRPr="00B86DE9">
              <w:rPr>
                <w:b/>
              </w:rPr>
              <w:t>Práce s odbornou literaturou</w:t>
            </w:r>
          </w:p>
        </w:tc>
        <w:tc>
          <w:tcPr>
            <w:tcW w:w="7364" w:type="dxa"/>
            <w:tcBorders>
              <w:top w:val="single" w:sz="4" w:space="0" w:color="auto"/>
              <w:left w:val="single" w:sz="2" w:space="0" w:color="auto"/>
              <w:bottom w:val="single" w:sz="4" w:space="0" w:color="auto"/>
              <w:right w:val="single" w:sz="2" w:space="0" w:color="auto"/>
            </w:tcBorders>
          </w:tcPr>
          <w:p w:rsidR="00251D2F" w:rsidRPr="00B86DE9" w:rsidRDefault="00251D2F" w:rsidP="009F6951">
            <w:pPr>
              <w:rPr>
                <w:b/>
              </w:rPr>
            </w:pPr>
            <w:r w:rsidRPr="00B86DE9">
              <w:rPr>
                <w:sz w:val="22"/>
                <w:szCs w:val="22"/>
              </w:rPr>
              <w:t>Kvalita, množství a relevance zpracované literatury</w:t>
            </w:r>
          </w:p>
        </w:tc>
        <w:tc>
          <w:tcPr>
            <w:tcW w:w="1477" w:type="dxa"/>
            <w:vMerge w:val="restart"/>
            <w:tcBorders>
              <w:top w:val="single" w:sz="4" w:space="0" w:color="auto"/>
              <w:left w:val="single" w:sz="2" w:space="0" w:color="auto"/>
              <w:right w:val="double" w:sz="4" w:space="0" w:color="auto"/>
            </w:tcBorders>
            <w:vAlign w:val="center"/>
          </w:tcPr>
          <w:p w:rsidR="00251D2F" w:rsidRPr="00B86DE9" w:rsidRDefault="003A223F" w:rsidP="00FA23BB">
            <w:pPr>
              <w:jc w:val="center"/>
              <w:rPr>
                <w:b/>
              </w:rPr>
            </w:pPr>
            <w:r>
              <w:rPr>
                <w:b/>
              </w:rPr>
              <w:t>1/</w:t>
            </w:r>
            <w:r w:rsidR="008F434F">
              <w:rPr>
                <w:b/>
              </w:rPr>
              <w:t>2</w:t>
            </w:r>
          </w:p>
        </w:tc>
      </w:tr>
      <w:tr w:rsidR="00251D2F" w:rsidRPr="00B86DE9" w:rsidTr="00251D2F">
        <w:trPr>
          <w:trHeight w:val="397"/>
        </w:trPr>
        <w:tc>
          <w:tcPr>
            <w:tcW w:w="2160" w:type="dxa"/>
            <w:vMerge/>
            <w:tcBorders>
              <w:top w:val="single" w:sz="4" w:space="0" w:color="auto"/>
              <w:left w:val="double" w:sz="4" w:space="0" w:color="auto"/>
              <w:bottom w:val="single" w:sz="4" w:space="0" w:color="auto"/>
              <w:right w:val="single" w:sz="2" w:space="0" w:color="auto"/>
            </w:tcBorders>
            <w:shd w:val="clear" w:color="auto" w:fill="E0E0E0"/>
            <w:vAlign w:val="center"/>
          </w:tcPr>
          <w:p w:rsidR="00251D2F" w:rsidRPr="00B86DE9" w:rsidRDefault="00251D2F" w:rsidP="00FA23BB">
            <w:pPr>
              <w:jc w:val="both"/>
              <w:rPr>
                <w:sz w:val="22"/>
                <w:szCs w:val="22"/>
              </w:rPr>
            </w:pPr>
          </w:p>
        </w:tc>
        <w:tc>
          <w:tcPr>
            <w:tcW w:w="7364" w:type="dxa"/>
            <w:tcBorders>
              <w:top w:val="single" w:sz="4" w:space="0" w:color="auto"/>
              <w:left w:val="single" w:sz="2" w:space="0" w:color="auto"/>
              <w:bottom w:val="single" w:sz="4" w:space="0" w:color="auto"/>
              <w:right w:val="single" w:sz="2" w:space="0" w:color="auto"/>
            </w:tcBorders>
          </w:tcPr>
          <w:p w:rsidR="00251D2F" w:rsidRPr="00B86DE9" w:rsidRDefault="00251D2F" w:rsidP="009F6951">
            <w:pPr>
              <w:rPr>
                <w:b/>
              </w:rPr>
            </w:pPr>
            <w:r w:rsidRPr="00B86DE9">
              <w:rPr>
                <w:sz w:val="22"/>
                <w:szCs w:val="22"/>
              </w:rPr>
              <w:t>Kritický přístup ke zdrojům</w:t>
            </w:r>
          </w:p>
        </w:tc>
        <w:tc>
          <w:tcPr>
            <w:tcW w:w="1477" w:type="dxa"/>
            <w:vMerge/>
            <w:tcBorders>
              <w:left w:val="single" w:sz="2" w:space="0" w:color="auto"/>
              <w:bottom w:val="single" w:sz="4" w:space="0" w:color="auto"/>
              <w:right w:val="double" w:sz="4" w:space="0" w:color="auto"/>
            </w:tcBorders>
            <w:vAlign w:val="center"/>
          </w:tcPr>
          <w:p w:rsidR="00251D2F" w:rsidRPr="00B86DE9" w:rsidRDefault="00251D2F" w:rsidP="00FA23BB">
            <w:pPr>
              <w:jc w:val="center"/>
              <w:rPr>
                <w:b/>
              </w:rPr>
            </w:pPr>
          </w:p>
        </w:tc>
      </w:tr>
      <w:tr w:rsidR="00251D2F" w:rsidRPr="00B86DE9" w:rsidTr="00251D2F">
        <w:trPr>
          <w:trHeight w:val="397"/>
        </w:trPr>
        <w:tc>
          <w:tcPr>
            <w:tcW w:w="2160" w:type="dxa"/>
            <w:vMerge w:val="restart"/>
            <w:tcBorders>
              <w:top w:val="single" w:sz="4" w:space="0" w:color="auto"/>
              <w:left w:val="double" w:sz="4" w:space="0" w:color="auto"/>
              <w:bottom w:val="single" w:sz="4" w:space="0" w:color="auto"/>
              <w:right w:val="single" w:sz="2" w:space="0" w:color="auto"/>
            </w:tcBorders>
            <w:shd w:val="clear" w:color="auto" w:fill="E0E0E0"/>
            <w:vAlign w:val="center"/>
          </w:tcPr>
          <w:p w:rsidR="00251D2F" w:rsidRPr="00B86DE9" w:rsidRDefault="00251D2F" w:rsidP="00FA23BB">
            <w:pPr>
              <w:jc w:val="center"/>
              <w:rPr>
                <w:b/>
              </w:rPr>
            </w:pPr>
            <w:r w:rsidRPr="00B86DE9">
              <w:rPr>
                <w:b/>
              </w:rPr>
              <w:t>Formální stránka</w:t>
            </w:r>
          </w:p>
        </w:tc>
        <w:tc>
          <w:tcPr>
            <w:tcW w:w="7364" w:type="dxa"/>
            <w:tcBorders>
              <w:top w:val="single" w:sz="4" w:space="0" w:color="auto"/>
              <w:left w:val="single" w:sz="2" w:space="0" w:color="auto"/>
              <w:bottom w:val="single" w:sz="4" w:space="0" w:color="auto"/>
              <w:right w:val="single" w:sz="2" w:space="0" w:color="auto"/>
            </w:tcBorders>
          </w:tcPr>
          <w:p w:rsidR="00251D2F" w:rsidRPr="00B86DE9" w:rsidRDefault="00251D2F" w:rsidP="009F6951">
            <w:pPr>
              <w:rPr>
                <w:b/>
              </w:rPr>
            </w:pPr>
            <w:r w:rsidRPr="00B86DE9">
              <w:rPr>
                <w:sz w:val="22"/>
                <w:szCs w:val="22"/>
              </w:rPr>
              <w:t>Dodržení doporučených pravidel a norem formální úpravy (směrnice FF UPa)</w:t>
            </w:r>
          </w:p>
        </w:tc>
        <w:tc>
          <w:tcPr>
            <w:tcW w:w="1477" w:type="dxa"/>
            <w:vMerge w:val="restart"/>
            <w:tcBorders>
              <w:top w:val="single" w:sz="4" w:space="0" w:color="auto"/>
              <w:left w:val="single" w:sz="2" w:space="0" w:color="auto"/>
              <w:right w:val="double" w:sz="4" w:space="0" w:color="auto"/>
            </w:tcBorders>
            <w:vAlign w:val="center"/>
          </w:tcPr>
          <w:p w:rsidR="00251D2F" w:rsidRPr="00B86DE9" w:rsidRDefault="008A606A" w:rsidP="00FA23BB">
            <w:pPr>
              <w:jc w:val="center"/>
              <w:rPr>
                <w:b/>
              </w:rPr>
            </w:pPr>
            <w:r>
              <w:rPr>
                <w:b/>
              </w:rPr>
              <w:t>2</w:t>
            </w:r>
          </w:p>
        </w:tc>
      </w:tr>
      <w:tr w:rsidR="00251D2F" w:rsidRPr="00B86DE9" w:rsidTr="00251D2F">
        <w:trPr>
          <w:trHeight w:val="397"/>
        </w:trPr>
        <w:tc>
          <w:tcPr>
            <w:tcW w:w="2160" w:type="dxa"/>
            <w:vMerge/>
            <w:tcBorders>
              <w:top w:val="single" w:sz="4" w:space="0" w:color="auto"/>
              <w:left w:val="double" w:sz="4" w:space="0" w:color="auto"/>
              <w:bottom w:val="single" w:sz="4" w:space="0" w:color="auto"/>
              <w:right w:val="single" w:sz="2" w:space="0" w:color="auto"/>
            </w:tcBorders>
            <w:shd w:val="clear" w:color="auto" w:fill="E0E0E0"/>
            <w:vAlign w:val="center"/>
          </w:tcPr>
          <w:p w:rsidR="00251D2F" w:rsidRPr="00B86DE9" w:rsidRDefault="00251D2F" w:rsidP="00FA23BB">
            <w:pPr>
              <w:jc w:val="both"/>
              <w:rPr>
                <w:sz w:val="22"/>
                <w:szCs w:val="22"/>
              </w:rPr>
            </w:pPr>
          </w:p>
        </w:tc>
        <w:tc>
          <w:tcPr>
            <w:tcW w:w="7364" w:type="dxa"/>
            <w:tcBorders>
              <w:top w:val="single" w:sz="4" w:space="0" w:color="auto"/>
              <w:left w:val="single" w:sz="2" w:space="0" w:color="auto"/>
              <w:bottom w:val="single" w:sz="4" w:space="0" w:color="auto"/>
              <w:right w:val="single" w:sz="2" w:space="0" w:color="auto"/>
            </w:tcBorders>
          </w:tcPr>
          <w:p w:rsidR="00251D2F" w:rsidRPr="00B86DE9" w:rsidRDefault="00251D2F" w:rsidP="009F6951">
            <w:pPr>
              <w:rPr>
                <w:b/>
              </w:rPr>
            </w:pPr>
            <w:r w:rsidRPr="00B86DE9">
              <w:rPr>
                <w:sz w:val="22"/>
                <w:szCs w:val="22"/>
              </w:rPr>
              <w:t>Kvalita vědec</w:t>
            </w:r>
            <w:r w:rsidR="00453009" w:rsidRPr="00B86DE9">
              <w:rPr>
                <w:sz w:val="22"/>
                <w:szCs w:val="22"/>
              </w:rPr>
              <w:t>kého aparátu, příloh, tabulek a</w:t>
            </w:r>
            <w:r w:rsidRPr="00B86DE9">
              <w:rPr>
                <w:sz w:val="22"/>
                <w:szCs w:val="22"/>
              </w:rPr>
              <w:t xml:space="preserve"> obrázků</w:t>
            </w:r>
          </w:p>
        </w:tc>
        <w:tc>
          <w:tcPr>
            <w:tcW w:w="1477" w:type="dxa"/>
            <w:vMerge/>
            <w:tcBorders>
              <w:left w:val="single" w:sz="2" w:space="0" w:color="auto"/>
              <w:right w:val="double" w:sz="4" w:space="0" w:color="auto"/>
            </w:tcBorders>
            <w:vAlign w:val="center"/>
          </w:tcPr>
          <w:p w:rsidR="00251D2F" w:rsidRPr="00B86DE9" w:rsidRDefault="00251D2F" w:rsidP="00FA23BB">
            <w:pPr>
              <w:jc w:val="center"/>
              <w:rPr>
                <w:b/>
              </w:rPr>
            </w:pPr>
          </w:p>
        </w:tc>
      </w:tr>
      <w:tr w:rsidR="00251D2F" w:rsidRPr="00B86DE9" w:rsidTr="00251D2F">
        <w:trPr>
          <w:trHeight w:val="397"/>
        </w:trPr>
        <w:tc>
          <w:tcPr>
            <w:tcW w:w="2160" w:type="dxa"/>
            <w:vMerge/>
            <w:tcBorders>
              <w:top w:val="single" w:sz="4" w:space="0" w:color="auto"/>
              <w:left w:val="double" w:sz="4" w:space="0" w:color="auto"/>
              <w:bottom w:val="single" w:sz="4" w:space="0" w:color="auto"/>
              <w:right w:val="single" w:sz="2" w:space="0" w:color="auto"/>
            </w:tcBorders>
            <w:shd w:val="clear" w:color="auto" w:fill="E0E0E0"/>
            <w:vAlign w:val="center"/>
          </w:tcPr>
          <w:p w:rsidR="00251D2F" w:rsidRPr="00B86DE9" w:rsidRDefault="00251D2F" w:rsidP="00FA23BB"/>
        </w:tc>
        <w:tc>
          <w:tcPr>
            <w:tcW w:w="7364" w:type="dxa"/>
            <w:tcBorders>
              <w:top w:val="single" w:sz="4" w:space="0" w:color="auto"/>
              <w:left w:val="single" w:sz="2" w:space="0" w:color="auto"/>
              <w:bottom w:val="single" w:sz="4" w:space="0" w:color="auto"/>
              <w:right w:val="single" w:sz="2" w:space="0" w:color="auto"/>
            </w:tcBorders>
          </w:tcPr>
          <w:p w:rsidR="00251D2F" w:rsidRPr="00B86DE9" w:rsidRDefault="00251D2F" w:rsidP="009F6951">
            <w:r w:rsidRPr="00B86DE9">
              <w:rPr>
                <w:sz w:val="22"/>
                <w:szCs w:val="22"/>
              </w:rPr>
              <w:t>Dodržení bibliografických norem ČSN ISO 690</w:t>
            </w:r>
          </w:p>
        </w:tc>
        <w:tc>
          <w:tcPr>
            <w:tcW w:w="1477" w:type="dxa"/>
            <w:vMerge/>
            <w:tcBorders>
              <w:left w:val="single" w:sz="2" w:space="0" w:color="auto"/>
              <w:bottom w:val="single" w:sz="4" w:space="0" w:color="auto"/>
              <w:right w:val="double" w:sz="4" w:space="0" w:color="auto"/>
            </w:tcBorders>
          </w:tcPr>
          <w:p w:rsidR="00251D2F" w:rsidRPr="00B86DE9" w:rsidRDefault="00251D2F" w:rsidP="00FA23BB"/>
        </w:tc>
      </w:tr>
      <w:tr w:rsidR="00251D2F" w:rsidRPr="00B86DE9" w:rsidTr="00251D2F">
        <w:trPr>
          <w:trHeight w:val="397"/>
        </w:trPr>
        <w:tc>
          <w:tcPr>
            <w:tcW w:w="2160" w:type="dxa"/>
            <w:vMerge w:val="restart"/>
            <w:tcBorders>
              <w:top w:val="single" w:sz="4" w:space="0" w:color="auto"/>
              <w:left w:val="double" w:sz="4" w:space="0" w:color="auto"/>
              <w:bottom w:val="single" w:sz="4" w:space="0" w:color="auto"/>
              <w:right w:val="single" w:sz="2" w:space="0" w:color="auto"/>
            </w:tcBorders>
            <w:shd w:val="clear" w:color="auto" w:fill="E0E0E0"/>
            <w:vAlign w:val="center"/>
          </w:tcPr>
          <w:p w:rsidR="00251D2F" w:rsidRPr="00B86DE9" w:rsidRDefault="00251D2F" w:rsidP="006D564B">
            <w:pPr>
              <w:jc w:val="center"/>
              <w:rPr>
                <w:b/>
              </w:rPr>
            </w:pPr>
            <w:r w:rsidRPr="00B86DE9">
              <w:rPr>
                <w:b/>
              </w:rPr>
              <w:t xml:space="preserve">Jazyková úroveň </w:t>
            </w:r>
          </w:p>
        </w:tc>
        <w:tc>
          <w:tcPr>
            <w:tcW w:w="7364" w:type="dxa"/>
            <w:tcBorders>
              <w:top w:val="single" w:sz="4" w:space="0" w:color="auto"/>
              <w:left w:val="single" w:sz="2" w:space="0" w:color="auto"/>
              <w:bottom w:val="single" w:sz="4" w:space="0" w:color="auto"/>
              <w:right w:val="single" w:sz="2" w:space="0" w:color="auto"/>
            </w:tcBorders>
          </w:tcPr>
          <w:p w:rsidR="00251D2F" w:rsidRPr="00B86DE9" w:rsidRDefault="00251D2F" w:rsidP="009F6951">
            <w:r w:rsidRPr="00B86DE9">
              <w:rPr>
                <w:sz w:val="22"/>
                <w:szCs w:val="22"/>
              </w:rPr>
              <w:t>Gramatická přesnost a komplexnost</w:t>
            </w:r>
          </w:p>
        </w:tc>
        <w:tc>
          <w:tcPr>
            <w:tcW w:w="1477" w:type="dxa"/>
            <w:vMerge w:val="restart"/>
            <w:tcBorders>
              <w:top w:val="single" w:sz="4" w:space="0" w:color="auto"/>
              <w:left w:val="single" w:sz="2" w:space="0" w:color="auto"/>
              <w:right w:val="double" w:sz="4" w:space="0" w:color="auto"/>
            </w:tcBorders>
            <w:vAlign w:val="center"/>
          </w:tcPr>
          <w:p w:rsidR="00251D2F" w:rsidRPr="00B86DE9" w:rsidRDefault="003A223F" w:rsidP="00FA23BB">
            <w:pPr>
              <w:jc w:val="center"/>
              <w:rPr>
                <w:b/>
              </w:rPr>
            </w:pPr>
            <w:r>
              <w:rPr>
                <w:b/>
              </w:rPr>
              <w:t>1</w:t>
            </w:r>
          </w:p>
        </w:tc>
      </w:tr>
      <w:tr w:rsidR="00251D2F" w:rsidRPr="00B86DE9" w:rsidTr="00251D2F">
        <w:trPr>
          <w:trHeight w:val="397"/>
        </w:trPr>
        <w:tc>
          <w:tcPr>
            <w:tcW w:w="2160" w:type="dxa"/>
            <w:vMerge/>
            <w:tcBorders>
              <w:top w:val="single" w:sz="4" w:space="0" w:color="auto"/>
              <w:left w:val="double" w:sz="4" w:space="0" w:color="auto"/>
              <w:bottom w:val="single" w:sz="4" w:space="0" w:color="auto"/>
              <w:right w:val="single" w:sz="2" w:space="0" w:color="auto"/>
            </w:tcBorders>
            <w:shd w:val="clear" w:color="auto" w:fill="E0E0E0"/>
            <w:vAlign w:val="center"/>
          </w:tcPr>
          <w:p w:rsidR="00251D2F" w:rsidRPr="00B86DE9" w:rsidRDefault="00251D2F" w:rsidP="00FA23BB">
            <w:pPr>
              <w:jc w:val="both"/>
              <w:rPr>
                <w:sz w:val="22"/>
                <w:szCs w:val="22"/>
              </w:rPr>
            </w:pPr>
          </w:p>
        </w:tc>
        <w:tc>
          <w:tcPr>
            <w:tcW w:w="7364" w:type="dxa"/>
            <w:tcBorders>
              <w:top w:val="single" w:sz="4" w:space="0" w:color="auto"/>
              <w:left w:val="single" w:sz="2" w:space="0" w:color="auto"/>
              <w:bottom w:val="single" w:sz="4" w:space="0" w:color="auto"/>
              <w:right w:val="single" w:sz="2" w:space="0" w:color="auto"/>
            </w:tcBorders>
          </w:tcPr>
          <w:p w:rsidR="00251D2F" w:rsidRPr="00B86DE9" w:rsidRDefault="00251D2F" w:rsidP="009F6951">
            <w:r w:rsidRPr="00B86DE9">
              <w:rPr>
                <w:sz w:val="22"/>
                <w:szCs w:val="22"/>
              </w:rPr>
              <w:t>Slovní zásoba</w:t>
            </w:r>
          </w:p>
        </w:tc>
        <w:tc>
          <w:tcPr>
            <w:tcW w:w="1477" w:type="dxa"/>
            <w:vMerge/>
            <w:tcBorders>
              <w:left w:val="single" w:sz="2" w:space="0" w:color="auto"/>
              <w:right w:val="double" w:sz="4" w:space="0" w:color="auto"/>
            </w:tcBorders>
            <w:vAlign w:val="center"/>
          </w:tcPr>
          <w:p w:rsidR="00251D2F" w:rsidRPr="00B86DE9" w:rsidRDefault="00251D2F" w:rsidP="00FA23BB">
            <w:pPr>
              <w:jc w:val="center"/>
              <w:rPr>
                <w:b/>
              </w:rPr>
            </w:pPr>
          </w:p>
        </w:tc>
      </w:tr>
      <w:tr w:rsidR="00251D2F" w:rsidRPr="00B86DE9" w:rsidTr="00251D2F">
        <w:trPr>
          <w:trHeight w:val="397"/>
        </w:trPr>
        <w:tc>
          <w:tcPr>
            <w:tcW w:w="2160" w:type="dxa"/>
            <w:vMerge/>
            <w:tcBorders>
              <w:top w:val="single" w:sz="4" w:space="0" w:color="auto"/>
              <w:left w:val="double" w:sz="4" w:space="0" w:color="auto"/>
              <w:bottom w:val="single" w:sz="4" w:space="0" w:color="auto"/>
              <w:right w:val="single" w:sz="2" w:space="0" w:color="auto"/>
            </w:tcBorders>
            <w:shd w:val="clear" w:color="auto" w:fill="E0E0E0"/>
            <w:vAlign w:val="center"/>
          </w:tcPr>
          <w:p w:rsidR="00251D2F" w:rsidRPr="00B86DE9" w:rsidRDefault="00251D2F" w:rsidP="00FA23BB">
            <w:pPr>
              <w:jc w:val="both"/>
              <w:rPr>
                <w:sz w:val="22"/>
                <w:szCs w:val="22"/>
              </w:rPr>
            </w:pPr>
          </w:p>
        </w:tc>
        <w:tc>
          <w:tcPr>
            <w:tcW w:w="7364" w:type="dxa"/>
            <w:tcBorders>
              <w:top w:val="single" w:sz="4" w:space="0" w:color="auto"/>
              <w:left w:val="single" w:sz="2" w:space="0" w:color="auto"/>
              <w:bottom w:val="single" w:sz="4" w:space="0" w:color="auto"/>
              <w:right w:val="single" w:sz="2" w:space="0" w:color="auto"/>
            </w:tcBorders>
          </w:tcPr>
          <w:p w:rsidR="00251D2F" w:rsidRPr="00B86DE9" w:rsidRDefault="00251D2F" w:rsidP="009F6951">
            <w:pPr>
              <w:rPr>
                <w:b/>
              </w:rPr>
            </w:pPr>
            <w:r w:rsidRPr="00B86DE9">
              <w:rPr>
                <w:sz w:val="22"/>
                <w:szCs w:val="22"/>
              </w:rPr>
              <w:t>Koheze a koherence</w:t>
            </w:r>
          </w:p>
        </w:tc>
        <w:tc>
          <w:tcPr>
            <w:tcW w:w="1477" w:type="dxa"/>
            <w:vMerge/>
            <w:tcBorders>
              <w:left w:val="single" w:sz="2" w:space="0" w:color="auto"/>
              <w:right w:val="double" w:sz="4" w:space="0" w:color="auto"/>
            </w:tcBorders>
            <w:vAlign w:val="center"/>
          </w:tcPr>
          <w:p w:rsidR="00251D2F" w:rsidRPr="00B86DE9" w:rsidRDefault="00251D2F" w:rsidP="00FA23BB">
            <w:pPr>
              <w:jc w:val="center"/>
              <w:rPr>
                <w:b/>
              </w:rPr>
            </w:pPr>
          </w:p>
        </w:tc>
      </w:tr>
      <w:tr w:rsidR="00251D2F" w:rsidRPr="00B86DE9" w:rsidTr="00251D2F">
        <w:trPr>
          <w:trHeight w:val="397"/>
        </w:trPr>
        <w:tc>
          <w:tcPr>
            <w:tcW w:w="2160" w:type="dxa"/>
            <w:vMerge/>
            <w:tcBorders>
              <w:top w:val="single" w:sz="4" w:space="0" w:color="auto"/>
              <w:left w:val="double" w:sz="4" w:space="0" w:color="auto"/>
              <w:bottom w:val="single" w:sz="4" w:space="0" w:color="auto"/>
              <w:right w:val="single" w:sz="2" w:space="0" w:color="auto"/>
            </w:tcBorders>
            <w:shd w:val="clear" w:color="auto" w:fill="E0E0E0"/>
            <w:vAlign w:val="center"/>
          </w:tcPr>
          <w:p w:rsidR="00251D2F" w:rsidRPr="00B86DE9" w:rsidRDefault="00251D2F" w:rsidP="00FA23BB">
            <w:pPr>
              <w:jc w:val="both"/>
              <w:rPr>
                <w:sz w:val="22"/>
                <w:szCs w:val="22"/>
              </w:rPr>
            </w:pPr>
          </w:p>
        </w:tc>
        <w:tc>
          <w:tcPr>
            <w:tcW w:w="7364" w:type="dxa"/>
            <w:tcBorders>
              <w:top w:val="single" w:sz="4" w:space="0" w:color="auto"/>
              <w:left w:val="single" w:sz="2" w:space="0" w:color="auto"/>
              <w:bottom w:val="single" w:sz="4" w:space="0" w:color="auto"/>
              <w:right w:val="single" w:sz="2" w:space="0" w:color="auto"/>
            </w:tcBorders>
          </w:tcPr>
          <w:p w:rsidR="00251D2F" w:rsidRPr="00B86DE9" w:rsidRDefault="00251D2F" w:rsidP="009F6951">
            <w:pPr>
              <w:rPr>
                <w:b/>
              </w:rPr>
            </w:pPr>
            <w:r w:rsidRPr="00B86DE9">
              <w:rPr>
                <w:sz w:val="22"/>
                <w:szCs w:val="22"/>
              </w:rPr>
              <w:t>Interpunkce a stylistické aspekty</w:t>
            </w:r>
          </w:p>
        </w:tc>
        <w:tc>
          <w:tcPr>
            <w:tcW w:w="1477" w:type="dxa"/>
            <w:vMerge/>
            <w:tcBorders>
              <w:left w:val="single" w:sz="2" w:space="0" w:color="auto"/>
              <w:bottom w:val="single" w:sz="4" w:space="0" w:color="auto"/>
              <w:right w:val="double" w:sz="4" w:space="0" w:color="auto"/>
            </w:tcBorders>
            <w:vAlign w:val="center"/>
          </w:tcPr>
          <w:p w:rsidR="00251D2F" w:rsidRPr="00B86DE9" w:rsidRDefault="00251D2F" w:rsidP="00FA23BB">
            <w:pPr>
              <w:jc w:val="center"/>
              <w:rPr>
                <w:b/>
              </w:rPr>
            </w:pPr>
          </w:p>
        </w:tc>
      </w:tr>
    </w:tbl>
    <w:p w:rsidR="00E469F0" w:rsidRPr="00B86DE9" w:rsidRDefault="00E469F0" w:rsidP="0043517D">
      <w:pPr>
        <w:jc w:val="both"/>
        <w:rPr>
          <w:b/>
        </w:rPr>
      </w:pPr>
    </w:p>
    <w:p w:rsidR="00F83C94" w:rsidRPr="00F83C94" w:rsidRDefault="00FA23BB" w:rsidP="0043517D">
      <w:pPr>
        <w:jc w:val="both"/>
      </w:pPr>
      <w:r w:rsidRPr="00B86DE9">
        <w:rPr>
          <w:b/>
        </w:rPr>
        <w:t>Slovní vyjádření k hodnocení bakalářské práce:</w:t>
      </w:r>
    </w:p>
    <w:p w:rsidR="00F83C94" w:rsidRDefault="00F83C94" w:rsidP="0043517D">
      <w:pPr>
        <w:jc w:val="both"/>
        <w:rPr>
          <w:szCs w:val="20"/>
          <w:lang w:val="en-US"/>
        </w:rPr>
      </w:pPr>
      <w:r>
        <w:rPr>
          <w:lang w:val="en-US"/>
        </w:rPr>
        <w:t>T</w:t>
      </w:r>
      <w:r w:rsidR="0053669F">
        <w:rPr>
          <w:lang w:val="en-US"/>
        </w:rPr>
        <w:t xml:space="preserve">he comprehensive approach </w:t>
      </w:r>
      <w:r w:rsidR="000E3FAD">
        <w:rPr>
          <w:lang w:val="en-US"/>
        </w:rPr>
        <w:t>throughout</w:t>
      </w:r>
      <w:r w:rsidR="0053669F">
        <w:rPr>
          <w:lang w:val="en-US"/>
        </w:rPr>
        <w:t xml:space="preserve"> this fine</w:t>
      </w:r>
      <w:r w:rsidRPr="00F83C94">
        <w:rPr>
          <w:lang w:val="en-US"/>
        </w:rPr>
        <w:t xml:space="preserve"> BP </w:t>
      </w:r>
      <w:r>
        <w:rPr>
          <w:lang w:val="en-US"/>
        </w:rPr>
        <w:t xml:space="preserve">combines </w:t>
      </w:r>
      <w:r w:rsidR="0053669F">
        <w:rPr>
          <w:lang w:val="en-US"/>
        </w:rPr>
        <w:t>element</w:t>
      </w:r>
      <w:r w:rsidR="000E3FAD">
        <w:rPr>
          <w:lang w:val="en-US"/>
        </w:rPr>
        <w:t>s</w:t>
      </w:r>
      <w:r w:rsidR="0053669F">
        <w:rPr>
          <w:lang w:val="en-US"/>
        </w:rPr>
        <w:t xml:space="preserve"> of </w:t>
      </w:r>
      <w:r>
        <w:rPr>
          <w:lang w:val="en-US"/>
        </w:rPr>
        <w:t xml:space="preserve">historical-cultural background with structural evaluations of the individual poems in </w:t>
      </w:r>
      <w:r w:rsidRPr="00455C97">
        <w:rPr>
          <w:i/>
          <w:szCs w:val="20"/>
          <w:lang w:val="en-US"/>
        </w:rPr>
        <w:t>Montage of a Dream Deferred</w:t>
      </w:r>
      <w:r>
        <w:rPr>
          <w:i/>
          <w:szCs w:val="20"/>
          <w:lang w:val="en-US"/>
        </w:rPr>
        <w:t xml:space="preserve"> </w:t>
      </w:r>
      <w:r w:rsidRPr="00F83C94">
        <w:rPr>
          <w:szCs w:val="20"/>
          <w:lang w:val="en-US"/>
        </w:rPr>
        <w:t xml:space="preserve">in terms of </w:t>
      </w:r>
      <w:r>
        <w:rPr>
          <w:szCs w:val="20"/>
          <w:lang w:val="en-US"/>
        </w:rPr>
        <w:t xml:space="preserve">the formal and thematic elements of </w:t>
      </w:r>
      <w:r w:rsidR="00F12DA4">
        <w:rPr>
          <w:szCs w:val="20"/>
          <w:lang w:val="en-US"/>
        </w:rPr>
        <w:t xml:space="preserve">urban </w:t>
      </w:r>
      <w:r>
        <w:rPr>
          <w:szCs w:val="20"/>
          <w:lang w:val="en-US"/>
        </w:rPr>
        <w:t xml:space="preserve">blues and (mostly be-bop) jazz, then brings the discussion to the present by highlighting influences of Hughes on </w:t>
      </w:r>
      <w:r w:rsidR="000E3FAD">
        <w:rPr>
          <w:szCs w:val="20"/>
          <w:lang w:val="en-US"/>
        </w:rPr>
        <w:t xml:space="preserve">later writers and </w:t>
      </w:r>
      <w:r>
        <w:rPr>
          <w:szCs w:val="20"/>
          <w:lang w:val="en-US"/>
        </w:rPr>
        <w:t xml:space="preserve">hip hop artists. </w:t>
      </w:r>
    </w:p>
    <w:p w:rsidR="001F0ADB" w:rsidRPr="008A606A" w:rsidRDefault="001F0ADB" w:rsidP="008A606A">
      <w:pPr>
        <w:ind w:firstLine="708"/>
        <w:jc w:val="both"/>
        <w:rPr>
          <w:sz w:val="12"/>
          <w:szCs w:val="12"/>
          <w:lang w:val="en-US"/>
        </w:rPr>
      </w:pPr>
    </w:p>
    <w:p w:rsidR="00F83C94" w:rsidRDefault="008A606A" w:rsidP="0043517D">
      <w:pPr>
        <w:jc w:val="both"/>
        <w:rPr>
          <w:szCs w:val="20"/>
          <w:lang w:val="en-US"/>
        </w:rPr>
      </w:pPr>
      <w:r>
        <w:rPr>
          <w:szCs w:val="20"/>
          <w:lang w:val="en-US"/>
        </w:rPr>
        <w:t>To begin with a negative aspect, o</w:t>
      </w:r>
      <w:r w:rsidR="001F0ADB">
        <w:rPr>
          <w:szCs w:val="20"/>
          <w:lang w:val="en-US"/>
        </w:rPr>
        <w:t>ne fundamental problem is that the primary works by Hughes that are analyzed are not presented in the bibliography. This creates potential confusi</w:t>
      </w:r>
      <w:r>
        <w:rPr>
          <w:szCs w:val="20"/>
          <w:lang w:val="en-US"/>
        </w:rPr>
        <w:t>on for</w:t>
      </w:r>
      <w:r w:rsidR="000D132D">
        <w:rPr>
          <w:szCs w:val="20"/>
          <w:lang w:val="en-US"/>
        </w:rPr>
        <w:t xml:space="preserve"> researchers</w:t>
      </w:r>
      <w:r>
        <w:rPr>
          <w:szCs w:val="20"/>
          <w:lang w:val="en-US"/>
        </w:rPr>
        <w:t xml:space="preserve">, as various versions of works with different publication dates contain changes made by </w:t>
      </w:r>
      <w:r w:rsidR="000D132D">
        <w:rPr>
          <w:szCs w:val="20"/>
          <w:lang w:val="en-US"/>
        </w:rPr>
        <w:t>the author</w:t>
      </w:r>
      <w:r>
        <w:rPr>
          <w:szCs w:val="20"/>
          <w:lang w:val="en-US"/>
        </w:rPr>
        <w:t xml:space="preserve"> and editors. It is assumed that this was merely an oversight on the BP author’s part stemming from lack of experience.</w:t>
      </w:r>
    </w:p>
    <w:p w:rsidR="008A606A" w:rsidRPr="008A606A" w:rsidRDefault="008A606A" w:rsidP="0043517D">
      <w:pPr>
        <w:jc w:val="both"/>
        <w:rPr>
          <w:sz w:val="12"/>
          <w:szCs w:val="12"/>
          <w:lang w:val="en-US"/>
        </w:rPr>
      </w:pPr>
    </w:p>
    <w:p w:rsidR="0053669F" w:rsidRDefault="00F12DA4" w:rsidP="0043517D">
      <w:pPr>
        <w:jc w:val="both"/>
        <w:rPr>
          <w:szCs w:val="20"/>
          <w:lang w:val="en-US"/>
        </w:rPr>
      </w:pPr>
      <w:r>
        <w:rPr>
          <w:szCs w:val="20"/>
          <w:lang w:val="en-US"/>
        </w:rPr>
        <w:t>A</w:t>
      </w:r>
      <w:r w:rsidR="00F83C94">
        <w:rPr>
          <w:szCs w:val="20"/>
          <w:lang w:val="en-US"/>
        </w:rPr>
        <w:t xml:space="preserve"> </w:t>
      </w:r>
      <w:r>
        <w:rPr>
          <w:szCs w:val="20"/>
          <w:lang w:val="en-US"/>
        </w:rPr>
        <w:t xml:space="preserve">historical-cultural context in which Hughes’ overall work can be placed is outlined clearly and concisely in pages 2-21. The </w:t>
      </w:r>
      <w:r w:rsidR="00D12BFA">
        <w:rPr>
          <w:szCs w:val="20"/>
          <w:lang w:val="en-US"/>
        </w:rPr>
        <w:t xml:space="preserve">discussion of </w:t>
      </w:r>
      <w:r>
        <w:rPr>
          <w:szCs w:val="20"/>
          <w:lang w:val="en-US"/>
        </w:rPr>
        <w:t xml:space="preserve">Harlem </w:t>
      </w:r>
      <w:r w:rsidR="00D12BFA">
        <w:rPr>
          <w:szCs w:val="20"/>
          <w:lang w:val="en-US"/>
        </w:rPr>
        <w:t>Renaissance</w:t>
      </w:r>
      <w:r>
        <w:rPr>
          <w:szCs w:val="20"/>
          <w:lang w:val="en-US"/>
        </w:rPr>
        <w:t xml:space="preserve"> </w:t>
      </w:r>
      <w:r w:rsidR="00D12BFA">
        <w:rPr>
          <w:szCs w:val="20"/>
          <w:lang w:val="en-US"/>
        </w:rPr>
        <w:t xml:space="preserve">poetry, one feature of which is an appraisal of </w:t>
      </w:r>
      <w:r w:rsidR="0053669F">
        <w:rPr>
          <w:szCs w:val="20"/>
          <w:lang w:val="en-US"/>
        </w:rPr>
        <w:t xml:space="preserve">its (sometimes tricky) </w:t>
      </w:r>
      <w:r w:rsidR="00D12BFA">
        <w:rPr>
          <w:szCs w:val="20"/>
          <w:lang w:val="en-US"/>
        </w:rPr>
        <w:t xml:space="preserve">relationships to modernism, is supported by prose and poem </w:t>
      </w:r>
      <w:r w:rsidR="0053669F">
        <w:rPr>
          <w:szCs w:val="20"/>
          <w:lang w:val="en-US"/>
        </w:rPr>
        <w:t>references</w:t>
      </w:r>
      <w:r w:rsidR="00D12BFA">
        <w:rPr>
          <w:szCs w:val="20"/>
          <w:lang w:val="en-US"/>
        </w:rPr>
        <w:t xml:space="preserve"> by Hughes along with other artists (e.g. Pound) and commentators. </w:t>
      </w:r>
      <w:r w:rsidR="0053669F">
        <w:rPr>
          <w:szCs w:val="20"/>
          <w:lang w:val="en-US"/>
        </w:rPr>
        <w:t>The influence of film montage on movements such as Imagism is described</w:t>
      </w:r>
      <w:r w:rsidR="00090DF8">
        <w:rPr>
          <w:szCs w:val="20"/>
          <w:lang w:val="en-US"/>
        </w:rPr>
        <w:t xml:space="preserve"> (4-6)</w:t>
      </w:r>
      <w:r w:rsidR="0053669F">
        <w:rPr>
          <w:szCs w:val="20"/>
          <w:lang w:val="en-US"/>
        </w:rPr>
        <w:t>, with specific citations from Hughes’ and other works giving clear examples of the statements made</w:t>
      </w:r>
      <w:r w:rsidR="00090DF8">
        <w:rPr>
          <w:szCs w:val="20"/>
          <w:lang w:val="en-US"/>
        </w:rPr>
        <w:t xml:space="preserve"> regarding, e.g. “[r]epetitive rhyme patterns, fixed forms, and recurring themes concerning the questions of gender, race and sexuality</w:t>
      </w:r>
      <w:r w:rsidR="0053669F">
        <w:rPr>
          <w:szCs w:val="20"/>
          <w:lang w:val="en-US"/>
        </w:rPr>
        <w:t>.</w:t>
      </w:r>
      <w:r w:rsidR="00090DF8">
        <w:rPr>
          <w:szCs w:val="20"/>
          <w:lang w:val="en-US"/>
        </w:rPr>
        <w:t>” (8)</w:t>
      </w:r>
      <w:r w:rsidR="0053669F">
        <w:rPr>
          <w:szCs w:val="20"/>
          <w:lang w:val="en-US"/>
        </w:rPr>
        <w:t xml:space="preserve"> Next a tracing of musical styles is presented, again with lucid conclusions supplemented by specific examples, all of which makes for a broad</w:t>
      </w:r>
      <w:r w:rsidR="00090DF8">
        <w:rPr>
          <w:szCs w:val="20"/>
          <w:lang w:val="en-US"/>
        </w:rPr>
        <w:t xml:space="preserve"> cultural and formal</w:t>
      </w:r>
      <w:r w:rsidR="0053669F">
        <w:rPr>
          <w:szCs w:val="20"/>
          <w:lang w:val="en-US"/>
        </w:rPr>
        <w:t xml:space="preserve"> context of blues </w:t>
      </w:r>
      <w:r w:rsidR="00090DF8">
        <w:rPr>
          <w:szCs w:val="20"/>
          <w:lang w:val="en-US"/>
        </w:rPr>
        <w:t xml:space="preserve">and its influences on later forms (10-14) such as ragtime and jazz (13) and be-bop (14), with one current being the development of popular, dance-oriented swing toward be-bop’s listener-oriented “repeated broken rhythms that highlight the improvisation process.” (14) Later in the analytical sections the BP writer will correlate these </w:t>
      </w:r>
      <w:r w:rsidR="008D6C3D">
        <w:rPr>
          <w:szCs w:val="20"/>
          <w:lang w:val="en-US"/>
        </w:rPr>
        <w:t>cultural issues (e.g. “high” and “low” art</w:t>
      </w:r>
      <w:r w:rsidR="000E3FAD">
        <w:rPr>
          <w:szCs w:val="20"/>
          <w:lang w:val="en-US"/>
        </w:rPr>
        <w:t>, gender relations, slang</w:t>
      </w:r>
      <w:r w:rsidR="008D6C3D">
        <w:rPr>
          <w:szCs w:val="20"/>
          <w:lang w:val="en-US"/>
        </w:rPr>
        <w:t xml:space="preserve">) </w:t>
      </w:r>
      <w:r w:rsidR="000E3FAD">
        <w:rPr>
          <w:szCs w:val="20"/>
          <w:lang w:val="en-US"/>
        </w:rPr>
        <w:t xml:space="preserve">and </w:t>
      </w:r>
      <w:r w:rsidR="00090DF8">
        <w:rPr>
          <w:szCs w:val="20"/>
          <w:lang w:val="en-US"/>
        </w:rPr>
        <w:t xml:space="preserve">formal features </w:t>
      </w:r>
      <w:r w:rsidR="008D6C3D">
        <w:rPr>
          <w:szCs w:val="20"/>
          <w:lang w:val="en-US"/>
        </w:rPr>
        <w:t xml:space="preserve">(cadence, structure, use of rhythms) </w:t>
      </w:r>
      <w:r w:rsidR="00090DF8">
        <w:rPr>
          <w:szCs w:val="20"/>
          <w:lang w:val="en-US"/>
        </w:rPr>
        <w:t xml:space="preserve">to aspects of the poems in </w:t>
      </w:r>
      <w:r w:rsidR="00090DF8" w:rsidRPr="00090DF8">
        <w:rPr>
          <w:i/>
          <w:szCs w:val="20"/>
          <w:lang w:val="en-US"/>
        </w:rPr>
        <w:t>Montage</w:t>
      </w:r>
      <w:r w:rsidR="00090DF8">
        <w:rPr>
          <w:szCs w:val="20"/>
          <w:lang w:val="en-US"/>
        </w:rPr>
        <w:t xml:space="preserve">. This approach creates a cohesive structure leading </w:t>
      </w:r>
      <w:r w:rsidR="000D132D">
        <w:rPr>
          <w:szCs w:val="20"/>
          <w:lang w:val="en-US"/>
        </w:rPr>
        <w:t xml:space="preserve">later </w:t>
      </w:r>
      <w:r w:rsidR="00090DF8">
        <w:rPr>
          <w:szCs w:val="20"/>
          <w:lang w:val="en-US"/>
        </w:rPr>
        <w:t>to rich overall conclusions.</w:t>
      </w:r>
    </w:p>
    <w:p w:rsidR="0053669F" w:rsidRPr="008A606A" w:rsidRDefault="0053669F" w:rsidP="0043517D">
      <w:pPr>
        <w:jc w:val="both"/>
        <w:rPr>
          <w:sz w:val="12"/>
          <w:szCs w:val="12"/>
          <w:lang w:val="en-US"/>
        </w:rPr>
      </w:pPr>
    </w:p>
    <w:p w:rsidR="003A223F" w:rsidRDefault="00090DF8" w:rsidP="0043517D">
      <w:pPr>
        <w:jc w:val="both"/>
        <w:rPr>
          <w:szCs w:val="20"/>
          <w:lang w:val="en-US"/>
        </w:rPr>
      </w:pPr>
      <w:r>
        <w:rPr>
          <w:szCs w:val="20"/>
          <w:lang w:val="en-US"/>
        </w:rPr>
        <w:t xml:space="preserve">The sections “Literary and musical influence on Hughes” (15-18) and “Influence of African-American music on Hughes’ poetry” (18-21) both build </w:t>
      </w:r>
      <w:r w:rsidR="008D6C3D">
        <w:rPr>
          <w:szCs w:val="20"/>
          <w:lang w:val="en-US"/>
        </w:rPr>
        <w:t>up</w:t>
      </w:r>
      <w:r>
        <w:rPr>
          <w:szCs w:val="20"/>
          <w:lang w:val="en-US"/>
        </w:rPr>
        <w:t xml:space="preserve">on information in the preceding chapters as well as introduce new issues, e.g. </w:t>
      </w:r>
      <w:r w:rsidR="008D6C3D">
        <w:rPr>
          <w:szCs w:val="20"/>
          <w:lang w:val="en-US"/>
        </w:rPr>
        <w:t>the Whitman-inspired Chicago Renaissance poets (16-18), American Romantic poetry through Longfellow</w:t>
      </w:r>
      <w:r w:rsidR="000E3FAD">
        <w:rPr>
          <w:szCs w:val="20"/>
          <w:lang w:val="en-US"/>
        </w:rPr>
        <w:t xml:space="preserve">; here </w:t>
      </w:r>
      <w:r w:rsidR="000D132D">
        <w:rPr>
          <w:szCs w:val="20"/>
          <w:lang w:val="en-US"/>
        </w:rPr>
        <w:t xml:space="preserve">key </w:t>
      </w:r>
      <w:r w:rsidR="000E3FAD">
        <w:rPr>
          <w:szCs w:val="20"/>
          <w:lang w:val="en-US"/>
        </w:rPr>
        <w:t>similarities and differences are touched upon. I</w:t>
      </w:r>
      <w:r w:rsidR="008D6C3D">
        <w:rPr>
          <w:szCs w:val="20"/>
          <w:lang w:val="en-US"/>
        </w:rPr>
        <w:t>nterestingly, Hughes’ financial incentive in pursuing African-American forms, which w</w:t>
      </w:r>
      <w:r w:rsidR="001F0ADB">
        <w:rPr>
          <w:szCs w:val="20"/>
          <w:lang w:val="en-US"/>
        </w:rPr>
        <w:t>ere</w:t>
      </w:r>
      <w:r w:rsidR="008D6C3D">
        <w:rPr>
          <w:szCs w:val="20"/>
          <w:lang w:val="en-US"/>
        </w:rPr>
        <w:t xml:space="preserve"> becoming part of mainstream popular culture by 1951</w:t>
      </w:r>
      <w:r w:rsidR="001F0ADB">
        <w:rPr>
          <w:szCs w:val="20"/>
          <w:lang w:val="en-US"/>
        </w:rPr>
        <w:t xml:space="preserve">, is </w:t>
      </w:r>
      <w:r w:rsidR="000D132D">
        <w:rPr>
          <w:szCs w:val="20"/>
          <w:lang w:val="en-US"/>
        </w:rPr>
        <w:t>highlighted,</w:t>
      </w:r>
      <w:r w:rsidR="001F0ADB">
        <w:rPr>
          <w:szCs w:val="20"/>
          <w:lang w:val="en-US"/>
        </w:rPr>
        <w:t xml:space="preserve"> </w:t>
      </w:r>
      <w:r w:rsidR="000D132D">
        <w:rPr>
          <w:szCs w:val="20"/>
          <w:lang w:val="en-US"/>
        </w:rPr>
        <w:t xml:space="preserve">e.g. </w:t>
      </w:r>
      <w:r w:rsidR="001F0ADB">
        <w:rPr>
          <w:szCs w:val="20"/>
          <w:lang w:val="en-US"/>
        </w:rPr>
        <w:t>through references to Hughes’ 1956 essay “Jazz as Communication</w:t>
      </w:r>
      <w:r w:rsidR="008D6C3D">
        <w:rPr>
          <w:szCs w:val="20"/>
          <w:lang w:val="en-US"/>
        </w:rPr>
        <w:t>.</w:t>
      </w:r>
      <w:r w:rsidR="001F0ADB">
        <w:rPr>
          <w:szCs w:val="20"/>
          <w:lang w:val="en-US"/>
        </w:rPr>
        <w:t>”</w:t>
      </w:r>
      <w:r w:rsidR="008D6C3D">
        <w:rPr>
          <w:szCs w:val="20"/>
          <w:lang w:val="en-US"/>
        </w:rPr>
        <w:t xml:space="preserve"> </w:t>
      </w:r>
    </w:p>
    <w:p w:rsidR="003A223F" w:rsidRPr="008A606A" w:rsidRDefault="003A223F" w:rsidP="0043517D">
      <w:pPr>
        <w:jc w:val="both"/>
        <w:rPr>
          <w:sz w:val="12"/>
          <w:szCs w:val="12"/>
          <w:lang w:val="en-US"/>
        </w:rPr>
      </w:pPr>
    </w:p>
    <w:p w:rsidR="001F0ADB" w:rsidRDefault="003A223F" w:rsidP="0043517D">
      <w:pPr>
        <w:jc w:val="both"/>
        <w:rPr>
          <w:szCs w:val="20"/>
          <w:lang w:val="en-US"/>
        </w:rPr>
      </w:pPr>
      <w:r>
        <w:rPr>
          <w:szCs w:val="20"/>
          <w:lang w:val="en-US"/>
        </w:rPr>
        <w:t xml:space="preserve">The </w:t>
      </w:r>
      <w:r w:rsidR="008E0B14">
        <w:rPr>
          <w:szCs w:val="20"/>
          <w:lang w:val="en-US"/>
        </w:rPr>
        <w:t>analyse</w:t>
      </w:r>
      <w:r>
        <w:rPr>
          <w:szCs w:val="20"/>
          <w:lang w:val="en-US"/>
        </w:rPr>
        <w:t>s of individual poems in terms of mainly blues, but also showing the influence of be-bop</w:t>
      </w:r>
      <w:r w:rsidR="008E0B14">
        <w:rPr>
          <w:szCs w:val="20"/>
          <w:lang w:val="en-US"/>
        </w:rPr>
        <w:t xml:space="preserve"> use the background material quite well as well as introduce </w:t>
      </w:r>
      <w:r w:rsidR="000D132D">
        <w:rPr>
          <w:szCs w:val="20"/>
          <w:lang w:val="en-US"/>
        </w:rPr>
        <w:t>additional</w:t>
      </w:r>
      <w:r w:rsidR="008E0B14">
        <w:rPr>
          <w:szCs w:val="20"/>
          <w:lang w:val="en-US"/>
        </w:rPr>
        <w:t xml:space="preserve"> concepts. Again the strength is the combination of formal elements (</w:t>
      </w:r>
      <w:r w:rsidR="000A6730">
        <w:rPr>
          <w:szCs w:val="20"/>
          <w:lang w:val="en-US"/>
        </w:rPr>
        <w:t xml:space="preserve">anaphora, </w:t>
      </w:r>
      <w:r w:rsidR="008E0B14">
        <w:rPr>
          <w:szCs w:val="20"/>
          <w:lang w:val="en-US"/>
        </w:rPr>
        <w:t>sound and word play, montage, “onomatopoeic expressions and interjections” [34]) with cultural influences (“Boogie-woogie imagery” [</w:t>
      </w:r>
      <w:r w:rsidR="00033774">
        <w:rPr>
          <w:szCs w:val="20"/>
          <w:lang w:val="en-US"/>
        </w:rPr>
        <w:t>39];</w:t>
      </w:r>
      <w:r w:rsidR="008E0B14">
        <w:rPr>
          <w:szCs w:val="20"/>
          <w:lang w:val="en-US"/>
        </w:rPr>
        <w:t xml:space="preserve"> African-American English rhythms, phonemes and morphemes; </w:t>
      </w:r>
      <w:r w:rsidR="000A6730">
        <w:rPr>
          <w:szCs w:val="20"/>
          <w:lang w:val="en-US"/>
        </w:rPr>
        <w:t xml:space="preserve">jazz spoken idiom; </w:t>
      </w:r>
      <w:r w:rsidR="008E0B14">
        <w:rPr>
          <w:szCs w:val="20"/>
          <w:lang w:val="en-US"/>
        </w:rPr>
        <w:t>representations of various modes showing a “transition from black to white”</w:t>
      </w:r>
      <w:r w:rsidR="000A6730">
        <w:rPr>
          <w:szCs w:val="20"/>
          <w:lang w:val="en-US"/>
        </w:rPr>
        <w:t xml:space="preserve"> [39])</w:t>
      </w:r>
      <w:r w:rsidR="008E0B14">
        <w:rPr>
          <w:szCs w:val="20"/>
          <w:lang w:val="en-US"/>
        </w:rPr>
        <w:t xml:space="preserve"> to create </w:t>
      </w:r>
      <w:r w:rsidR="000E3FAD">
        <w:rPr>
          <w:szCs w:val="20"/>
          <w:lang w:val="en-US"/>
        </w:rPr>
        <w:t>strong</w:t>
      </w:r>
      <w:r w:rsidR="008E0B14">
        <w:rPr>
          <w:szCs w:val="20"/>
          <w:lang w:val="en-US"/>
        </w:rPr>
        <w:t>, precise readings of each work.</w:t>
      </w:r>
      <w:r w:rsidR="000A6730">
        <w:rPr>
          <w:szCs w:val="20"/>
          <w:lang w:val="en-US"/>
        </w:rPr>
        <w:t xml:space="preserve"> Indeed the distinction between cultural and formal aspects is </w:t>
      </w:r>
      <w:r w:rsidR="00033774">
        <w:rPr>
          <w:szCs w:val="20"/>
          <w:lang w:val="en-US"/>
        </w:rPr>
        <w:t xml:space="preserve">often </w:t>
      </w:r>
      <w:r w:rsidR="000A6730">
        <w:rPr>
          <w:szCs w:val="20"/>
          <w:lang w:val="en-US"/>
        </w:rPr>
        <w:t>pleasingly blurred through the examination of modes such as call and response as well as “scat language”</w:t>
      </w:r>
      <w:r w:rsidR="00033774">
        <w:rPr>
          <w:szCs w:val="20"/>
          <w:lang w:val="en-US"/>
        </w:rPr>
        <w:t xml:space="preserve"> (34); this </w:t>
      </w:r>
      <w:r w:rsidR="000A6730">
        <w:rPr>
          <w:szCs w:val="20"/>
          <w:lang w:val="en-US"/>
        </w:rPr>
        <w:t>demonstrates a hybridity of genre (end even the human subject itself, especially relevant to the African-American experience) which is an implicit theme throughout the entire BP</w:t>
      </w:r>
      <w:r w:rsidR="00033774">
        <w:rPr>
          <w:szCs w:val="20"/>
          <w:lang w:val="en-US"/>
        </w:rPr>
        <w:t>, although it is only pointed out explicitly once or twice in the analytical section</w:t>
      </w:r>
      <w:r w:rsidR="000E3FAD">
        <w:rPr>
          <w:szCs w:val="20"/>
          <w:lang w:val="en-US"/>
        </w:rPr>
        <w:t xml:space="preserve">. Perhaps this overarching idea of multi-vocality </w:t>
      </w:r>
      <w:r w:rsidR="008A606A">
        <w:rPr>
          <w:szCs w:val="20"/>
          <w:lang w:val="en-US"/>
        </w:rPr>
        <w:t xml:space="preserve">or hybridity </w:t>
      </w:r>
      <w:r w:rsidR="000E3FAD">
        <w:rPr>
          <w:szCs w:val="20"/>
          <w:lang w:val="en-US"/>
        </w:rPr>
        <w:t>could have been reiterated</w:t>
      </w:r>
      <w:r w:rsidR="00033774">
        <w:rPr>
          <w:szCs w:val="20"/>
          <w:lang w:val="en-US"/>
        </w:rPr>
        <w:t xml:space="preserve"> in the conclusion</w:t>
      </w:r>
      <w:r w:rsidR="000D132D">
        <w:rPr>
          <w:szCs w:val="20"/>
          <w:lang w:val="en-US"/>
        </w:rPr>
        <w:t xml:space="preserve"> (or in a master’s thesis?)</w:t>
      </w:r>
      <w:r w:rsidR="00033774">
        <w:rPr>
          <w:szCs w:val="20"/>
          <w:lang w:val="en-US"/>
        </w:rPr>
        <w:t xml:space="preserve">. </w:t>
      </w:r>
    </w:p>
    <w:p w:rsidR="003A223F" w:rsidRPr="008A606A" w:rsidRDefault="003A223F" w:rsidP="0043517D">
      <w:pPr>
        <w:jc w:val="both"/>
        <w:rPr>
          <w:sz w:val="12"/>
          <w:szCs w:val="12"/>
          <w:lang w:val="en-US"/>
        </w:rPr>
      </w:pPr>
    </w:p>
    <w:p w:rsidR="003A223F" w:rsidRDefault="008E0B14" w:rsidP="0043517D">
      <w:pPr>
        <w:jc w:val="both"/>
        <w:rPr>
          <w:szCs w:val="20"/>
          <w:lang w:val="en-US"/>
        </w:rPr>
      </w:pPr>
      <w:r>
        <w:rPr>
          <w:szCs w:val="20"/>
          <w:lang w:val="en-US"/>
        </w:rPr>
        <w:t>Along these lines, m</w:t>
      </w:r>
      <w:r w:rsidR="003A223F">
        <w:rPr>
          <w:szCs w:val="20"/>
          <w:lang w:val="en-US"/>
        </w:rPr>
        <w:t xml:space="preserve">any of the striking conclusions in the BP come from the balancing and bouncing among discourses of modernism (e.g. surrealism, Stravinsky), “serious” vs. popular art (poetry to music) and African-American culture (“authenticity,” emotion and rhythm). This demonstration of the inseparability of form and content exemplified in simple statements like “blues poetry can be distinguished by its fixed repetitive form, whereas the form of jazz poetry is free, improvisational and seems to resemble spoken language” (26) </w:t>
      </w:r>
      <w:r w:rsidR="00C46667">
        <w:rPr>
          <w:szCs w:val="20"/>
          <w:lang w:val="en-US"/>
        </w:rPr>
        <w:t>is</w:t>
      </w:r>
      <w:r w:rsidR="003A223F">
        <w:rPr>
          <w:szCs w:val="20"/>
          <w:lang w:val="en-US"/>
        </w:rPr>
        <w:t xml:space="preserve"> supplemented by </w:t>
      </w:r>
      <w:r w:rsidR="00C46667">
        <w:rPr>
          <w:szCs w:val="20"/>
          <w:lang w:val="en-US"/>
        </w:rPr>
        <w:t>copious</w:t>
      </w:r>
      <w:r w:rsidR="003A223F">
        <w:rPr>
          <w:szCs w:val="20"/>
          <w:lang w:val="en-US"/>
        </w:rPr>
        <w:t xml:space="preserve"> evidence</w:t>
      </w:r>
      <w:bookmarkStart w:id="0" w:name="_GoBack"/>
      <w:bookmarkEnd w:id="0"/>
      <w:r w:rsidR="003A223F">
        <w:rPr>
          <w:szCs w:val="20"/>
          <w:lang w:val="en-US"/>
        </w:rPr>
        <w:t xml:space="preserve">. </w:t>
      </w:r>
      <w:r w:rsidR="000E3FAD">
        <w:rPr>
          <w:szCs w:val="20"/>
          <w:lang w:val="en-US"/>
        </w:rPr>
        <w:t>The author is to be commended for his outstanding work.</w:t>
      </w:r>
    </w:p>
    <w:p w:rsidR="003A223F" w:rsidRDefault="003A223F" w:rsidP="0043517D">
      <w:pPr>
        <w:jc w:val="both"/>
        <w:rPr>
          <w:szCs w:val="20"/>
          <w:lang w:val="en-US"/>
        </w:rPr>
      </w:pPr>
    </w:p>
    <w:p w:rsidR="00FA05E5" w:rsidRPr="00B86DE9" w:rsidRDefault="00FA05E5" w:rsidP="00FA23BB">
      <w:pPr>
        <w:jc w:val="both"/>
        <w:rPr>
          <w:sz w:val="4"/>
          <w:szCs w:val="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1E0" w:firstRow="1" w:lastRow="1" w:firstColumn="1" w:lastColumn="1" w:noHBand="0" w:noVBand="0"/>
      </w:tblPr>
      <w:tblGrid>
        <w:gridCol w:w="7488"/>
        <w:gridCol w:w="2151"/>
      </w:tblGrid>
      <w:tr w:rsidR="00FA23BB" w:rsidRPr="00B86DE9" w:rsidTr="00D86C78">
        <w:trPr>
          <w:trHeight w:val="583"/>
        </w:trPr>
        <w:tc>
          <w:tcPr>
            <w:tcW w:w="7488" w:type="dxa"/>
            <w:tcBorders>
              <w:top w:val="double" w:sz="4" w:space="0" w:color="auto"/>
              <w:left w:val="double" w:sz="4" w:space="0" w:color="auto"/>
              <w:bottom w:val="double" w:sz="4" w:space="0" w:color="auto"/>
              <w:right w:val="single" w:sz="4" w:space="0" w:color="auto"/>
            </w:tcBorders>
            <w:vAlign w:val="center"/>
          </w:tcPr>
          <w:p w:rsidR="00057C14" w:rsidRPr="00B86DE9" w:rsidRDefault="00FA23BB" w:rsidP="00FA23BB">
            <w:pPr>
              <w:jc w:val="both"/>
              <w:rPr>
                <w:b/>
                <w:sz w:val="32"/>
                <w:szCs w:val="32"/>
              </w:rPr>
            </w:pPr>
            <w:r w:rsidRPr="00B86DE9">
              <w:rPr>
                <w:b/>
                <w:sz w:val="28"/>
                <w:szCs w:val="28"/>
              </w:rPr>
              <w:t>V ý s l e d n á   k l a s i f i k a c e</w:t>
            </w:r>
            <w:r w:rsidR="0098138A" w:rsidRPr="00B86DE9">
              <w:rPr>
                <w:b/>
                <w:sz w:val="28"/>
                <w:szCs w:val="28"/>
              </w:rPr>
              <w:t>*</w:t>
            </w:r>
          </w:p>
          <w:p w:rsidR="00FA23BB" w:rsidRPr="00B86DE9" w:rsidRDefault="00FA23BB" w:rsidP="00FA23BB">
            <w:pPr>
              <w:jc w:val="both"/>
              <w:rPr>
                <w:b/>
              </w:rPr>
            </w:pPr>
            <w:r w:rsidRPr="00B86DE9">
              <w:t>(m</w:t>
            </w:r>
            <w:r w:rsidR="000013C7" w:rsidRPr="00B86DE9">
              <w:t xml:space="preserve">ožnosti klasifikace - </w:t>
            </w:r>
            <w:r w:rsidR="000013C7" w:rsidRPr="00033774">
              <w:rPr>
                <w:b/>
                <w:u w:val="single"/>
              </w:rPr>
              <w:t>výborně</w:t>
            </w:r>
            <w:r w:rsidR="000013C7" w:rsidRPr="00B86DE9">
              <w:t xml:space="preserve">, </w:t>
            </w:r>
            <w:r w:rsidRPr="00033774">
              <w:t>velmi dobře</w:t>
            </w:r>
            <w:r w:rsidRPr="00B86DE9">
              <w:t xml:space="preserve">, dobře, </w:t>
            </w:r>
            <w:r w:rsidRPr="008F434F">
              <w:t>nevyhověl</w:t>
            </w:r>
            <w:r w:rsidRPr="00B86DE9">
              <w:t>)</w:t>
            </w:r>
          </w:p>
        </w:tc>
        <w:tc>
          <w:tcPr>
            <w:tcW w:w="2151" w:type="dxa"/>
            <w:tcBorders>
              <w:top w:val="double" w:sz="4" w:space="0" w:color="auto"/>
              <w:left w:val="single" w:sz="4" w:space="0" w:color="auto"/>
              <w:bottom w:val="double" w:sz="4" w:space="0" w:color="auto"/>
              <w:right w:val="double" w:sz="4" w:space="0" w:color="auto"/>
            </w:tcBorders>
          </w:tcPr>
          <w:p w:rsidR="00E94257" w:rsidRPr="005913D6" w:rsidRDefault="00E94257" w:rsidP="00352364">
            <w:pPr>
              <w:spacing w:line="360" w:lineRule="auto"/>
              <w:jc w:val="center"/>
            </w:pPr>
          </w:p>
          <w:p w:rsidR="00FA23BB" w:rsidRPr="00033774" w:rsidRDefault="00033774" w:rsidP="00420A01">
            <w:pPr>
              <w:spacing w:line="360" w:lineRule="auto"/>
              <w:jc w:val="center"/>
            </w:pPr>
            <w:r w:rsidRPr="00033774">
              <w:t>výborně</w:t>
            </w:r>
          </w:p>
        </w:tc>
      </w:tr>
    </w:tbl>
    <w:p w:rsidR="000013C7" w:rsidRPr="00B86DE9" w:rsidRDefault="000013C7" w:rsidP="00FA23BB">
      <w:pPr>
        <w:spacing w:before="120" w:line="360" w:lineRule="auto"/>
        <w:jc w:val="center"/>
        <w:rPr>
          <w:b/>
          <w:sz w:val="4"/>
          <w:szCs w:val="4"/>
          <w:u w:val="single"/>
        </w:rPr>
      </w:pPr>
    </w:p>
    <w:p w:rsidR="00231532" w:rsidRPr="00B86DE9" w:rsidRDefault="00FA23BB" w:rsidP="0043517D">
      <w:pPr>
        <w:jc w:val="center"/>
        <w:rPr>
          <w:b/>
          <w:sz w:val="28"/>
          <w:szCs w:val="28"/>
        </w:rPr>
      </w:pPr>
      <w:r w:rsidRPr="005913D6">
        <w:rPr>
          <w:b/>
          <w:sz w:val="28"/>
          <w:szCs w:val="28"/>
          <w:u w:val="single"/>
        </w:rPr>
        <w:t>Doporučuji</w:t>
      </w:r>
      <w:r w:rsidRPr="00B86DE9">
        <w:rPr>
          <w:b/>
          <w:sz w:val="28"/>
          <w:szCs w:val="28"/>
        </w:rPr>
        <w:t xml:space="preserve"> / </w:t>
      </w:r>
      <w:r w:rsidR="008B28FF" w:rsidRPr="005913D6">
        <w:rPr>
          <w:b/>
          <w:strike/>
          <w:sz w:val="28"/>
          <w:szCs w:val="28"/>
        </w:rPr>
        <w:t>N</w:t>
      </w:r>
      <w:r w:rsidRPr="005913D6">
        <w:rPr>
          <w:b/>
          <w:strike/>
          <w:sz w:val="28"/>
          <w:szCs w:val="28"/>
        </w:rPr>
        <w:t>edoporučuji</w:t>
      </w:r>
      <w:r w:rsidRPr="00B86DE9">
        <w:rPr>
          <w:b/>
          <w:sz w:val="28"/>
          <w:szCs w:val="28"/>
        </w:rPr>
        <w:t xml:space="preserve"> </w:t>
      </w:r>
      <w:r w:rsidR="00AB30ED" w:rsidRPr="00AB30ED">
        <w:rPr>
          <w:b/>
          <w:sz w:val="28"/>
          <w:szCs w:val="28"/>
        </w:rPr>
        <w:t>diplomov</w:t>
      </w:r>
      <w:r w:rsidRPr="00AB30ED">
        <w:rPr>
          <w:b/>
          <w:sz w:val="28"/>
          <w:szCs w:val="28"/>
        </w:rPr>
        <w:t>ou</w:t>
      </w:r>
      <w:r w:rsidRPr="00B86DE9">
        <w:rPr>
          <w:b/>
          <w:sz w:val="28"/>
          <w:szCs w:val="28"/>
        </w:rPr>
        <w:t xml:space="preserve"> práci k obhajobě.</w:t>
      </w:r>
    </w:p>
    <w:p w:rsidR="00D20671" w:rsidRPr="008A606A" w:rsidRDefault="008A606A" w:rsidP="008A606A">
      <w:pPr>
        <w:tabs>
          <w:tab w:val="left" w:pos="1593"/>
        </w:tabs>
        <w:rPr>
          <w:b/>
          <w:sz w:val="20"/>
          <w:szCs w:val="20"/>
        </w:rPr>
      </w:pPr>
      <w:r>
        <w:rPr>
          <w:b/>
          <w:sz w:val="28"/>
          <w:szCs w:val="28"/>
        </w:rPr>
        <w:tab/>
      </w:r>
    </w:p>
    <w:p w:rsidR="0043517D" w:rsidRPr="00B86DE9" w:rsidRDefault="0043517D" w:rsidP="0043517D">
      <w:pPr>
        <w:spacing w:before="120" w:line="360" w:lineRule="auto"/>
        <w:jc w:val="center"/>
        <w:rPr>
          <w:b/>
          <w:sz w:val="4"/>
          <w:szCs w:val="4"/>
        </w:rPr>
      </w:pPr>
    </w:p>
    <w:p w:rsidR="00A54838" w:rsidRPr="00B86DE9" w:rsidRDefault="00FA23BB" w:rsidP="00A54838">
      <w:pPr>
        <w:jc w:val="both"/>
      </w:pPr>
      <w:r w:rsidRPr="00B86DE9">
        <w:t>Dne:</w:t>
      </w:r>
      <w:r w:rsidRPr="00B86DE9">
        <w:tab/>
      </w:r>
      <w:r w:rsidR="00F83C94">
        <w:t>29.7</w:t>
      </w:r>
      <w:r w:rsidR="008F434F">
        <w:t>.2015</w:t>
      </w:r>
      <w:r w:rsidRPr="00B86DE9">
        <w:tab/>
      </w:r>
      <w:r w:rsidRPr="00B86DE9">
        <w:tab/>
      </w:r>
      <w:r w:rsidRPr="00B86DE9">
        <w:tab/>
      </w:r>
      <w:r w:rsidRPr="00B86DE9">
        <w:tab/>
      </w:r>
      <w:r w:rsidR="000E6424" w:rsidRPr="00B86DE9">
        <w:t xml:space="preserve">           </w:t>
      </w:r>
      <w:r w:rsidR="00AB30ED">
        <w:tab/>
      </w:r>
      <w:r w:rsidR="006E4538" w:rsidRPr="00B86DE9">
        <w:t>Daniel P. Sampey</w:t>
      </w:r>
    </w:p>
    <w:p w:rsidR="00FA23BB" w:rsidRPr="00B86DE9" w:rsidRDefault="00A54838" w:rsidP="000013C7">
      <w:pPr>
        <w:jc w:val="both"/>
        <w:rPr>
          <w:sz w:val="32"/>
          <w:szCs w:val="32"/>
          <w:vertAlign w:val="superscript"/>
        </w:rPr>
      </w:pPr>
      <w:r w:rsidRPr="00B86DE9">
        <w:tab/>
      </w:r>
      <w:r w:rsidRPr="00B86DE9">
        <w:tab/>
      </w:r>
      <w:r w:rsidRPr="00B86DE9">
        <w:tab/>
      </w:r>
      <w:r w:rsidRPr="00B86DE9">
        <w:tab/>
      </w:r>
      <w:r w:rsidRPr="00B86DE9">
        <w:tab/>
      </w:r>
      <w:r w:rsidRPr="00B86DE9">
        <w:tab/>
      </w:r>
      <w:r w:rsidRPr="00B86DE9">
        <w:tab/>
        <w:t xml:space="preserve">Podpis </w:t>
      </w:r>
      <w:r w:rsidR="00AB30ED" w:rsidRPr="00AB30ED">
        <w:t>vedoucího</w:t>
      </w:r>
      <w:r w:rsidR="00AB30ED" w:rsidRPr="00B86DE9">
        <w:t xml:space="preserve"> </w:t>
      </w:r>
      <w:r w:rsidRPr="00B86DE9">
        <w:t>práce</w:t>
      </w:r>
    </w:p>
    <w:sectPr w:rsidR="00FA23BB" w:rsidRPr="00B86DE9" w:rsidSect="008A606A">
      <w:pgSz w:w="11906" w:h="16838"/>
      <w:pgMar w:top="899" w:right="926" w:bottom="72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CA" w:rsidRDefault="00F317CA" w:rsidP="00C6291B">
      <w:r>
        <w:separator/>
      </w:r>
    </w:p>
  </w:endnote>
  <w:endnote w:type="continuationSeparator" w:id="0">
    <w:p w:rsidR="00F317CA" w:rsidRDefault="00F317CA" w:rsidP="00C6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CA" w:rsidRDefault="00F317CA" w:rsidP="00C6291B">
      <w:r>
        <w:separator/>
      </w:r>
    </w:p>
  </w:footnote>
  <w:footnote w:type="continuationSeparator" w:id="0">
    <w:p w:rsidR="00F317CA" w:rsidRDefault="00F317CA" w:rsidP="00C62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41690"/>
    <w:multiLevelType w:val="hybridMultilevel"/>
    <w:tmpl w:val="23421878"/>
    <w:lvl w:ilvl="0" w:tplc="5FDCDE0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BB"/>
    <w:rsid w:val="000013C7"/>
    <w:rsid w:val="000251B5"/>
    <w:rsid w:val="00030BBC"/>
    <w:rsid w:val="00033774"/>
    <w:rsid w:val="000474EA"/>
    <w:rsid w:val="000522EE"/>
    <w:rsid w:val="000524E4"/>
    <w:rsid w:val="00057C14"/>
    <w:rsid w:val="00060FCA"/>
    <w:rsid w:val="000838E3"/>
    <w:rsid w:val="00090DF8"/>
    <w:rsid w:val="0009742B"/>
    <w:rsid w:val="000A0C25"/>
    <w:rsid w:val="000A6730"/>
    <w:rsid w:val="000B2F38"/>
    <w:rsid w:val="000B50BE"/>
    <w:rsid w:val="000B5A26"/>
    <w:rsid w:val="000C4A04"/>
    <w:rsid w:val="000C5359"/>
    <w:rsid w:val="000C6CF6"/>
    <w:rsid w:val="000D132D"/>
    <w:rsid w:val="000D2443"/>
    <w:rsid w:val="000D7944"/>
    <w:rsid w:val="000E3FAD"/>
    <w:rsid w:val="000E6424"/>
    <w:rsid w:val="000F2FE5"/>
    <w:rsid w:val="000F32AB"/>
    <w:rsid w:val="000F3C4C"/>
    <w:rsid w:val="00102656"/>
    <w:rsid w:val="0010274D"/>
    <w:rsid w:val="00103DD2"/>
    <w:rsid w:val="0010576E"/>
    <w:rsid w:val="001131E2"/>
    <w:rsid w:val="00124E4F"/>
    <w:rsid w:val="00134F15"/>
    <w:rsid w:val="00147E58"/>
    <w:rsid w:val="001543A3"/>
    <w:rsid w:val="00156EFB"/>
    <w:rsid w:val="001805BC"/>
    <w:rsid w:val="00183932"/>
    <w:rsid w:val="0019185C"/>
    <w:rsid w:val="0019587E"/>
    <w:rsid w:val="00195D86"/>
    <w:rsid w:val="00195E02"/>
    <w:rsid w:val="001977CD"/>
    <w:rsid w:val="001A10F8"/>
    <w:rsid w:val="001B44F7"/>
    <w:rsid w:val="001C2227"/>
    <w:rsid w:val="001C6D4E"/>
    <w:rsid w:val="001E6929"/>
    <w:rsid w:val="001E6BEC"/>
    <w:rsid w:val="001F0ADB"/>
    <w:rsid w:val="001F50FB"/>
    <w:rsid w:val="001F569C"/>
    <w:rsid w:val="002056F3"/>
    <w:rsid w:val="0021613B"/>
    <w:rsid w:val="002173C8"/>
    <w:rsid w:val="00231532"/>
    <w:rsid w:val="0023410E"/>
    <w:rsid w:val="00243A7C"/>
    <w:rsid w:val="00247F0F"/>
    <w:rsid w:val="0025037F"/>
    <w:rsid w:val="00250C6E"/>
    <w:rsid w:val="00250F8F"/>
    <w:rsid w:val="00251D2F"/>
    <w:rsid w:val="002542A7"/>
    <w:rsid w:val="00255085"/>
    <w:rsid w:val="00255624"/>
    <w:rsid w:val="002635BE"/>
    <w:rsid w:val="00265DEA"/>
    <w:rsid w:val="00287168"/>
    <w:rsid w:val="00293121"/>
    <w:rsid w:val="00293E9A"/>
    <w:rsid w:val="0029430F"/>
    <w:rsid w:val="00295B07"/>
    <w:rsid w:val="00296AB4"/>
    <w:rsid w:val="002A441D"/>
    <w:rsid w:val="002A4DFB"/>
    <w:rsid w:val="002B00F5"/>
    <w:rsid w:val="002B3F72"/>
    <w:rsid w:val="002B47F6"/>
    <w:rsid w:val="002B773B"/>
    <w:rsid w:val="002C7821"/>
    <w:rsid w:val="002D3EB7"/>
    <w:rsid w:val="002D4D3F"/>
    <w:rsid w:val="002E1AC7"/>
    <w:rsid w:val="002E56FD"/>
    <w:rsid w:val="002F1CD9"/>
    <w:rsid w:val="00300858"/>
    <w:rsid w:val="003012A4"/>
    <w:rsid w:val="00305C53"/>
    <w:rsid w:val="0030634F"/>
    <w:rsid w:val="00312AED"/>
    <w:rsid w:val="003145B2"/>
    <w:rsid w:val="00314626"/>
    <w:rsid w:val="00322883"/>
    <w:rsid w:val="003237C8"/>
    <w:rsid w:val="003476A5"/>
    <w:rsid w:val="00347EBD"/>
    <w:rsid w:val="00352364"/>
    <w:rsid w:val="00357D0E"/>
    <w:rsid w:val="003739B4"/>
    <w:rsid w:val="003778EC"/>
    <w:rsid w:val="00381269"/>
    <w:rsid w:val="00381DBB"/>
    <w:rsid w:val="003A223F"/>
    <w:rsid w:val="003A64CB"/>
    <w:rsid w:val="003B2D9B"/>
    <w:rsid w:val="003B558F"/>
    <w:rsid w:val="003C06CB"/>
    <w:rsid w:val="003C0FF4"/>
    <w:rsid w:val="003C47A3"/>
    <w:rsid w:val="003C6589"/>
    <w:rsid w:val="003D0434"/>
    <w:rsid w:val="003E5A76"/>
    <w:rsid w:val="003F4913"/>
    <w:rsid w:val="004022A6"/>
    <w:rsid w:val="00405AC5"/>
    <w:rsid w:val="00414C18"/>
    <w:rsid w:val="00420A01"/>
    <w:rsid w:val="00422445"/>
    <w:rsid w:val="00423B09"/>
    <w:rsid w:val="00434AFF"/>
    <w:rsid w:val="0043517D"/>
    <w:rsid w:val="00443C9F"/>
    <w:rsid w:val="004518F8"/>
    <w:rsid w:val="00453009"/>
    <w:rsid w:val="00455C97"/>
    <w:rsid w:val="004835F5"/>
    <w:rsid w:val="00484A51"/>
    <w:rsid w:val="004955C2"/>
    <w:rsid w:val="00495CC5"/>
    <w:rsid w:val="004B26EB"/>
    <w:rsid w:val="004C3F61"/>
    <w:rsid w:val="004D2921"/>
    <w:rsid w:val="004D3C72"/>
    <w:rsid w:val="004D6E0F"/>
    <w:rsid w:val="004D6EC1"/>
    <w:rsid w:val="004E6AA1"/>
    <w:rsid w:val="004F4557"/>
    <w:rsid w:val="00511C4C"/>
    <w:rsid w:val="0051466D"/>
    <w:rsid w:val="005147BD"/>
    <w:rsid w:val="00516E98"/>
    <w:rsid w:val="00517397"/>
    <w:rsid w:val="0053669F"/>
    <w:rsid w:val="00543740"/>
    <w:rsid w:val="00544180"/>
    <w:rsid w:val="00544730"/>
    <w:rsid w:val="00550D86"/>
    <w:rsid w:val="0055103F"/>
    <w:rsid w:val="00551801"/>
    <w:rsid w:val="005555B3"/>
    <w:rsid w:val="00555EA6"/>
    <w:rsid w:val="00557689"/>
    <w:rsid w:val="00560820"/>
    <w:rsid w:val="00576CBB"/>
    <w:rsid w:val="005913D6"/>
    <w:rsid w:val="005A3144"/>
    <w:rsid w:val="005B2528"/>
    <w:rsid w:val="005B44BC"/>
    <w:rsid w:val="005C0B59"/>
    <w:rsid w:val="005C0C2D"/>
    <w:rsid w:val="005C3613"/>
    <w:rsid w:val="005C4637"/>
    <w:rsid w:val="005C5E84"/>
    <w:rsid w:val="005D26DF"/>
    <w:rsid w:val="005E0D57"/>
    <w:rsid w:val="005E2BF8"/>
    <w:rsid w:val="006000B1"/>
    <w:rsid w:val="00601060"/>
    <w:rsid w:val="00605BCD"/>
    <w:rsid w:val="0061262E"/>
    <w:rsid w:val="00613464"/>
    <w:rsid w:val="00621E69"/>
    <w:rsid w:val="00622A79"/>
    <w:rsid w:val="006269BB"/>
    <w:rsid w:val="00632890"/>
    <w:rsid w:val="006578C9"/>
    <w:rsid w:val="006679BF"/>
    <w:rsid w:val="00670255"/>
    <w:rsid w:val="00681E3B"/>
    <w:rsid w:val="006820CA"/>
    <w:rsid w:val="00686B1D"/>
    <w:rsid w:val="00691374"/>
    <w:rsid w:val="0069173B"/>
    <w:rsid w:val="006A026D"/>
    <w:rsid w:val="006A5C98"/>
    <w:rsid w:val="006A6B6C"/>
    <w:rsid w:val="006B09A3"/>
    <w:rsid w:val="006C42C2"/>
    <w:rsid w:val="006D4536"/>
    <w:rsid w:val="006D564B"/>
    <w:rsid w:val="006D6B6A"/>
    <w:rsid w:val="006E4538"/>
    <w:rsid w:val="00710D08"/>
    <w:rsid w:val="00721B31"/>
    <w:rsid w:val="00722012"/>
    <w:rsid w:val="007401C3"/>
    <w:rsid w:val="007421EE"/>
    <w:rsid w:val="007449D8"/>
    <w:rsid w:val="00763D62"/>
    <w:rsid w:val="00764001"/>
    <w:rsid w:val="007660E2"/>
    <w:rsid w:val="00770150"/>
    <w:rsid w:val="00771FD6"/>
    <w:rsid w:val="00774878"/>
    <w:rsid w:val="00777247"/>
    <w:rsid w:val="007A2A4D"/>
    <w:rsid w:val="007A45EC"/>
    <w:rsid w:val="007A78A4"/>
    <w:rsid w:val="007B2527"/>
    <w:rsid w:val="007B43AD"/>
    <w:rsid w:val="007C2F57"/>
    <w:rsid w:val="007C2F9E"/>
    <w:rsid w:val="007C4737"/>
    <w:rsid w:val="007D2F2E"/>
    <w:rsid w:val="007D4AE1"/>
    <w:rsid w:val="007D56F5"/>
    <w:rsid w:val="007E2086"/>
    <w:rsid w:val="007E39B3"/>
    <w:rsid w:val="007F4846"/>
    <w:rsid w:val="00812AF9"/>
    <w:rsid w:val="00813104"/>
    <w:rsid w:val="00833287"/>
    <w:rsid w:val="0084409A"/>
    <w:rsid w:val="008515FB"/>
    <w:rsid w:val="00854424"/>
    <w:rsid w:val="00866557"/>
    <w:rsid w:val="00871612"/>
    <w:rsid w:val="008726E0"/>
    <w:rsid w:val="00875D7E"/>
    <w:rsid w:val="00880304"/>
    <w:rsid w:val="0088094F"/>
    <w:rsid w:val="008A606A"/>
    <w:rsid w:val="008A793D"/>
    <w:rsid w:val="008B0C15"/>
    <w:rsid w:val="008B28FF"/>
    <w:rsid w:val="008D143E"/>
    <w:rsid w:val="008D4970"/>
    <w:rsid w:val="008D4BFA"/>
    <w:rsid w:val="008D5593"/>
    <w:rsid w:val="008D6C3D"/>
    <w:rsid w:val="008E0B14"/>
    <w:rsid w:val="008F434F"/>
    <w:rsid w:val="008F4E8D"/>
    <w:rsid w:val="009027B3"/>
    <w:rsid w:val="009031E0"/>
    <w:rsid w:val="00907746"/>
    <w:rsid w:val="00907A0E"/>
    <w:rsid w:val="0091265B"/>
    <w:rsid w:val="009242FB"/>
    <w:rsid w:val="0093323A"/>
    <w:rsid w:val="00942C30"/>
    <w:rsid w:val="00975E61"/>
    <w:rsid w:val="0098138A"/>
    <w:rsid w:val="009A72E2"/>
    <w:rsid w:val="009B0F85"/>
    <w:rsid w:val="009B7438"/>
    <w:rsid w:val="009E46D5"/>
    <w:rsid w:val="009F2942"/>
    <w:rsid w:val="009F5166"/>
    <w:rsid w:val="009F6951"/>
    <w:rsid w:val="00A00B26"/>
    <w:rsid w:val="00A0318B"/>
    <w:rsid w:val="00A03A71"/>
    <w:rsid w:val="00A05820"/>
    <w:rsid w:val="00A12B59"/>
    <w:rsid w:val="00A17BE9"/>
    <w:rsid w:val="00A214FC"/>
    <w:rsid w:val="00A259A8"/>
    <w:rsid w:val="00A32C04"/>
    <w:rsid w:val="00A42FE6"/>
    <w:rsid w:val="00A50F6F"/>
    <w:rsid w:val="00A54563"/>
    <w:rsid w:val="00A54838"/>
    <w:rsid w:val="00A62BBE"/>
    <w:rsid w:val="00A62DE3"/>
    <w:rsid w:val="00A62FFD"/>
    <w:rsid w:val="00A665A4"/>
    <w:rsid w:val="00A722D3"/>
    <w:rsid w:val="00A74423"/>
    <w:rsid w:val="00A84FE1"/>
    <w:rsid w:val="00A86E39"/>
    <w:rsid w:val="00A87481"/>
    <w:rsid w:val="00A878B4"/>
    <w:rsid w:val="00AA20E5"/>
    <w:rsid w:val="00AA3B18"/>
    <w:rsid w:val="00AB224D"/>
    <w:rsid w:val="00AB30ED"/>
    <w:rsid w:val="00AB5D90"/>
    <w:rsid w:val="00AB7843"/>
    <w:rsid w:val="00AC1F5F"/>
    <w:rsid w:val="00AC3681"/>
    <w:rsid w:val="00AF3316"/>
    <w:rsid w:val="00B050B5"/>
    <w:rsid w:val="00B11004"/>
    <w:rsid w:val="00B12BE2"/>
    <w:rsid w:val="00B134BD"/>
    <w:rsid w:val="00B201D7"/>
    <w:rsid w:val="00B253C7"/>
    <w:rsid w:val="00B361E1"/>
    <w:rsid w:val="00B4188B"/>
    <w:rsid w:val="00B44E3C"/>
    <w:rsid w:val="00B57F92"/>
    <w:rsid w:val="00B64081"/>
    <w:rsid w:val="00B641BF"/>
    <w:rsid w:val="00B709DE"/>
    <w:rsid w:val="00B77830"/>
    <w:rsid w:val="00B83BE5"/>
    <w:rsid w:val="00B86DE9"/>
    <w:rsid w:val="00B928AC"/>
    <w:rsid w:val="00B93539"/>
    <w:rsid w:val="00BB246F"/>
    <w:rsid w:val="00BB561A"/>
    <w:rsid w:val="00BC28FE"/>
    <w:rsid w:val="00BC2CA4"/>
    <w:rsid w:val="00BC2F76"/>
    <w:rsid w:val="00BC5429"/>
    <w:rsid w:val="00BC617E"/>
    <w:rsid w:val="00BC6B47"/>
    <w:rsid w:val="00BC7FE6"/>
    <w:rsid w:val="00BD09A4"/>
    <w:rsid w:val="00BD464C"/>
    <w:rsid w:val="00BF0A03"/>
    <w:rsid w:val="00BF3B35"/>
    <w:rsid w:val="00C01A93"/>
    <w:rsid w:val="00C06A69"/>
    <w:rsid w:val="00C1076B"/>
    <w:rsid w:val="00C112BA"/>
    <w:rsid w:val="00C14706"/>
    <w:rsid w:val="00C152BA"/>
    <w:rsid w:val="00C263F7"/>
    <w:rsid w:val="00C37382"/>
    <w:rsid w:val="00C444CD"/>
    <w:rsid w:val="00C46667"/>
    <w:rsid w:val="00C52334"/>
    <w:rsid w:val="00C5339D"/>
    <w:rsid w:val="00C60E35"/>
    <w:rsid w:val="00C6291B"/>
    <w:rsid w:val="00C656A6"/>
    <w:rsid w:val="00C66F7C"/>
    <w:rsid w:val="00C73DF3"/>
    <w:rsid w:val="00C753B2"/>
    <w:rsid w:val="00C81014"/>
    <w:rsid w:val="00C81484"/>
    <w:rsid w:val="00C912E1"/>
    <w:rsid w:val="00C92AD8"/>
    <w:rsid w:val="00C92EC4"/>
    <w:rsid w:val="00CA2B30"/>
    <w:rsid w:val="00CA31CA"/>
    <w:rsid w:val="00CA6821"/>
    <w:rsid w:val="00CB0A76"/>
    <w:rsid w:val="00CB1594"/>
    <w:rsid w:val="00CB759B"/>
    <w:rsid w:val="00CB797A"/>
    <w:rsid w:val="00CC4D08"/>
    <w:rsid w:val="00CC5A6E"/>
    <w:rsid w:val="00CC687E"/>
    <w:rsid w:val="00CD656D"/>
    <w:rsid w:val="00CE2FEF"/>
    <w:rsid w:val="00CE66AB"/>
    <w:rsid w:val="00CF0899"/>
    <w:rsid w:val="00CF4485"/>
    <w:rsid w:val="00CF5487"/>
    <w:rsid w:val="00D067B0"/>
    <w:rsid w:val="00D12BFA"/>
    <w:rsid w:val="00D16EB8"/>
    <w:rsid w:val="00D20671"/>
    <w:rsid w:val="00D2400C"/>
    <w:rsid w:val="00D25F62"/>
    <w:rsid w:val="00D275DB"/>
    <w:rsid w:val="00D35133"/>
    <w:rsid w:val="00D35616"/>
    <w:rsid w:val="00D3601F"/>
    <w:rsid w:val="00D40CB8"/>
    <w:rsid w:val="00D448FC"/>
    <w:rsid w:val="00D51442"/>
    <w:rsid w:val="00D62673"/>
    <w:rsid w:val="00D640FB"/>
    <w:rsid w:val="00D70C5A"/>
    <w:rsid w:val="00D710B3"/>
    <w:rsid w:val="00D75248"/>
    <w:rsid w:val="00D75669"/>
    <w:rsid w:val="00D82884"/>
    <w:rsid w:val="00D8626B"/>
    <w:rsid w:val="00D86C78"/>
    <w:rsid w:val="00D86DB4"/>
    <w:rsid w:val="00D97F7B"/>
    <w:rsid w:val="00DA02C4"/>
    <w:rsid w:val="00DB33D1"/>
    <w:rsid w:val="00DC2CBF"/>
    <w:rsid w:val="00DC69E6"/>
    <w:rsid w:val="00DD5B33"/>
    <w:rsid w:val="00DE2DEE"/>
    <w:rsid w:val="00DE637C"/>
    <w:rsid w:val="00DF4142"/>
    <w:rsid w:val="00DF5501"/>
    <w:rsid w:val="00E02AD3"/>
    <w:rsid w:val="00E15670"/>
    <w:rsid w:val="00E20796"/>
    <w:rsid w:val="00E23A70"/>
    <w:rsid w:val="00E26BEA"/>
    <w:rsid w:val="00E27221"/>
    <w:rsid w:val="00E313DA"/>
    <w:rsid w:val="00E41D7C"/>
    <w:rsid w:val="00E42A0A"/>
    <w:rsid w:val="00E456B7"/>
    <w:rsid w:val="00E469F0"/>
    <w:rsid w:val="00E53DE7"/>
    <w:rsid w:val="00E55729"/>
    <w:rsid w:val="00E60926"/>
    <w:rsid w:val="00E65244"/>
    <w:rsid w:val="00E80E64"/>
    <w:rsid w:val="00E81E82"/>
    <w:rsid w:val="00E84B6D"/>
    <w:rsid w:val="00E86B02"/>
    <w:rsid w:val="00E94257"/>
    <w:rsid w:val="00E95731"/>
    <w:rsid w:val="00EC1B91"/>
    <w:rsid w:val="00EC4D92"/>
    <w:rsid w:val="00ED69B6"/>
    <w:rsid w:val="00EE12DE"/>
    <w:rsid w:val="00EE6773"/>
    <w:rsid w:val="00EF4613"/>
    <w:rsid w:val="00EF755F"/>
    <w:rsid w:val="00F02A50"/>
    <w:rsid w:val="00F102BB"/>
    <w:rsid w:val="00F10ECB"/>
    <w:rsid w:val="00F12DA4"/>
    <w:rsid w:val="00F12DB0"/>
    <w:rsid w:val="00F226A4"/>
    <w:rsid w:val="00F2656B"/>
    <w:rsid w:val="00F30EF2"/>
    <w:rsid w:val="00F317CA"/>
    <w:rsid w:val="00F367BC"/>
    <w:rsid w:val="00F446CE"/>
    <w:rsid w:val="00F77208"/>
    <w:rsid w:val="00F83C94"/>
    <w:rsid w:val="00F85E95"/>
    <w:rsid w:val="00FA05E5"/>
    <w:rsid w:val="00FA23BB"/>
    <w:rsid w:val="00FA6820"/>
    <w:rsid w:val="00FB1C20"/>
    <w:rsid w:val="00FB73CD"/>
    <w:rsid w:val="00FC30BE"/>
    <w:rsid w:val="00FD1607"/>
    <w:rsid w:val="00FD26A9"/>
    <w:rsid w:val="00FD2A6A"/>
    <w:rsid w:val="00FE696D"/>
    <w:rsid w:val="00FF364C"/>
    <w:rsid w:val="00FF6FFF"/>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F310E1-F72C-4DE2-8CAF-80D6083F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3BB"/>
    <w:rPr>
      <w:sz w:val="24"/>
      <w:szCs w:val="24"/>
      <w:lang w:val="cs-CZ" w:eastAsia="cs-CZ"/>
    </w:rPr>
  </w:style>
  <w:style w:type="paragraph" w:styleId="Heading4">
    <w:name w:val="heading 4"/>
    <w:basedOn w:val="Normal"/>
    <w:next w:val="Normal"/>
    <w:qFormat/>
    <w:rsid w:val="00FA23BB"/>
    <w:pPr>
      <w:keepNext/>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291B"/>
    <w:pPr>
      <w:tabs>
        <w:tab w:val="center" w:pos="4680"/>
        <w:tab w:val="right" w:pos="9360"/>
      </w:tabs>
    </w:pPr>
  </w:style>
  <w:style w:type="character" w:customStyle="1" w:styleId="HeaderChar">
    <w:name w:val="Header Char"/>
    <w:basedOn w:val="DefaultParagraphFont"/>
    <w:link w:val="Header"/>
    <w:rsid w:val="00C6291B"/>
    <w:rPr>
      <w:sz w:val="24"/>
      <w:szCs w:val="24"/>
      <w:lang w:val="cs-CZ" w:eastAsia="cs-CZ"/>
    </w:rPr>
  </w:style>
  <w:style w:type="paragraph" w:styleId="Footer">
    <w:name w:val="footer"/>
    <w:basedOn w:val="Normal"/>
    <w:link w:val="FooterChar"/>
    <w:rsid w:val="00C6291B"/>
    <w:pPr>
      <w:tabs>
        <w:tab w:val="center" w:pos="4680"/>
        <w:tab w:val="right" w:pos="9360"/>
      </w:tabs>
    </w:pPr>
  </w:style>
  <w:style w:type="character" w:customStyle="1" w:styleId="FooterChar">
    <w:name w:val="Footer Char"/>
    <w:basedOn w:val="DefaultParagraphFont"/>
    <w:link w:val="Footer"/>
    <w:rsid w:val="00C6291B"/>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EE0D-E931-4E5F-811D-4FB7A126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940</Words>
  <Characters>5362</Characters>
  <Application>Microsoft Office Word</Application>
  <DocSecurity>0</DocSecurity>
  <Lines>44</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UNIVERZITA PARDUBICE</vt:lpstr>
      <vt:lpstr>UNIVERZITA PARDUBICE</vt:lpstr>
    </vt:vector>
  </TitlesOfParts>
  <Company>UPa</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PARDUBICE</dc:title>
  <dc:subject/>
  <dc:creator>UPa</dc:creator>
  <cp:keywords/>
  <dc:description/>
  <cp:lastModifiedBy>Dan Sampey</cp:lastModifiedBy>
  <cp:revision>6</cp:revision>
  <dcterms:created xsi:type="dcterms:W3CDTF">2015-07-29T10:43:00Z</dcterms:created>
  <dcterms:modified xsi:type="dcterms:W3CDTF">2015-08-09T18:40:00Z</dcterms:modified>
</cp:coreProperties>
</file>