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55" w:rsidRDefault="0021322E" w:rsidP="0021322E">
      <w:pPr>
        <w:pBdr>
          <w:bottom w:val="single" w:sz="6" w:space="1" w:color="auto"/>
        </w:pBdr>
        <w:jc w:val="center"/>
      </w:pPr>
      <w:bookmarkStart w:id="0" w:name="_GoBack"/>
      <w:bookmarkEnd w:id="0"/>
      <w:r>
        <w:t xml:space="preserve">Univerzita Pardubice, </w:t>
      </w:r>
      <w:r w:rsidR="007A3F55">
        <w:t xml:space="preserve">Fakulta ekonomicko-správní, Ústav </w:t>
      </w:r>
      <w:r>
        <w:t xml:space="preserve">podnikové </w:t>
      </w:r>
      <w:r w:rsidR="00A0781F">
        <w:t>ekonomiky a</w:t>
      </w:r>
      <w:r>
        <w:t> </w:t>
      </w:r>
      <w:r w:rsidR="00A0781F">
        <w:t>managementu</w:t>
      </w:r>
    </w:p>
    <w:p w:rsidR="007A3F55" w:rsidRDefault="007A3F55">
      <w:pPr>
        <w:rPr>
          <w:sz w:val="20"/>
          <w:szCs w:val="20"/>
        </w:rPr>
      </w:pPr>
    </w:p>
    <w:p w:rsidR="007A3F55" w:rsidRDefault="007A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Posudek </w:t>
      </w:r>
      <w:r w:rsidR="00084833">
        <w:rPr>
          <w:b/>
          <w:sz w:val="28"/>
          <w:szCs w:val="28"/>
        </w:rPr>
        <w:t>oponenta</w:t>
      </w:r>
      <w:r>
        <w:rPr>
          <w:b/>
          <w:sz w:val="28"/>
          <w:szCs w:val="28"/>
        </w:rPr>
        <w:t xml:space="preserve"> diplomové práce</w:t>
      </w:r>
    </w:p>
    <w:p w:rsidR="007A3F55" w:rsidRDefault="007A3F5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A3F55">
        <w:tc>
          <w:tcPr>
            <w:tcW w:w="2988" w:type="dxa"/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diplomanta</w:t>
            </w:r>
          </w:p>
        </w:tc>
        <w:tc>
          <w:tcPr>
            <w:tcW w:w="6224" w:type="dxa"/>
          </w:tcPr>
          <w:p w:rsidR="007A3F55" w:rsidRDefault="0077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Čečetková</w:t>
            </w:r>
          </w:p>
        </w:tc>
      </w:tr>
      <w:tr w:rsidR="007A3F55">
        <w:tc>
          <w:tcPr>
            <w:tcW w:w="2988" w:type="dxa"/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práce</w:t>
            </w:r>
          </w:p>
        </w:tc>
        <w:tc>
          <w:tcPr>
            <w:tcW w:w="6224" w:type="dxa"/>
          </w:tcPr>
          <w:p w:rsidR="007A3F55" w:rsidRDefault="0077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Zaměstnanecké benefity</w:t>
            </w:r>
          </w:p>
        </w:tc>
      </w:tr>
      <w:tr w:rsidR="007A3F55">
        <w:tc>
          <w:tcPr>
            <w:tcW w:w="2988" w:type="dxa"/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práce</w:t>
            </w:r>
          </w:p>
          <w:p w:rsidR="007A3F55" w:rsidRDefault="007A3F55">
            <w:pPr>
              <w:rPr>
                <w:sz w:val="20"/>
                <w:szCs w:val="20"/>
              </w:rPr>
            </w:pPr>
          </w:p>
          <w:p w:rsidR="007A3F55" w:rsidRDefault="007A3F55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</w:tcPr>
          <w:p w:rsidR="007A3F55" w:rsidRDefault="00A949A0" w:rsidP="0077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Cílem práce byla analýza </w:t>
            </w:r>
            <w:r w:rsidR="0077217D">
              <w:rPr>
                <w:sz w:val="20"/>
                <w:szCs w:val="20"/>
              </w:rPr>
              <w:t>poskytování benefitů ve vybraných podnicích a následná jejich komparace podle předem zvolených kritérií.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3F55">
        <w:tc>
          <w:tcPr>
            <w:tcW w:w="2988" w:type="dxa"/>
          </w:tcPr>
          <w:p w:rsidR="007A3F55" w:rsidRDefault="000F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Vedoucí </w:t>
            </w:r>
            <w:r w:rsidR="007A3F55">
              <w:rPr>
                <w:sz w:val="20"/>
                <w:szCs w:val="20"/>
              </w:rPr>
              <w:t>diplomové práce</w:t>
            </w:r>
          </w:p>
        </w:tc>
        <w:tc>
          <w:tcPr>
            <w:tcW w:w="6224" w:type="dxa"/>
          </w:tcPr>
          <w:p w:rsidR="007A3F55" w:rsidRDefault="0077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Ing. Jolana Volejníková</w:t>
            </w:r>
            <w:r w:rsidR="00A949A0">
              <w:rPr>
                <w:sz w:val="20"/>
                <w:szCs w:val="20"/>
              </w:rPr>
              <w:t>, Ph.D.</w:t>
            </w:r>
          </w:p>
        </w:tc>
      </w:tr>
    </w:tbl>
    <w:p w:rsidR="007A3F55" w:rsidRDefault="007A3F55">
      <w:pPr>
        <w:spacing w:before="1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620"/>
        <w:gridCol w:w="1440"/>
        <w:gridCol w:w="1544"/>
      </w:tblGrid>
      <w:tr w:rsidR="007A3F55">
        <w:trPr>
          <w:cantSplit/>
        </w:trPr>
        <w:tc>
          <w:tcPr>
            <w:tcW w:w="4608" w:type="dxa"/>
            <w:vMerge w:val="restart"/>
          </w:tcPr>
          <w:p w:rsidR="007A3F55" w:rsidRDefault="007A3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náročnost tématu na</w:t>
            </w:r>
          </w:p>
        </w:tc>
        <w:tc>
          <w:tcPr>
            <w:tcW w:w="4604" w:type="dxa"/>
            <w:gridSpan w:val="3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úroveň</w:t>
            </w:r>
          </w:p>
        </w:tc>
      </w:tr>
      <w:tr w:rsidR="007A3F55">
        <w:trPr>
          <w:cantSplit/>
        </w:trPr>
        <w:tc>
          <w:tcPr>
            <w:tcW w:w="4608" w:type="dxa"/>
            <w:vMerge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nadprůměrná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průměrná</w:t>
            </w:r>
          </w:p>
        </w:tc>
        <w:tc>
          <w:tcPr>
            <w:tcW w:w="1544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podprůměrná</w:t>
            </w:r>
          </w:p>
        </w:tc>
      </w:tr>
      <w:tr w:rsidR="007A3F55">
        <w:tc>
          <w:tcPr>
            <w:tcW w:w="4608" w:type="dxa"/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teoretické znalosti</w:t>
            </w:r>
          </w:p>
        </w:tc>
        <w:tc>
          <w:tcPr>
            <w:tcW w:w="162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3F55" w:rsidRDefault="0021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4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4608" w:type="dxa"/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 zkušenosti</w:t>
            </w:r>
          </w:p>
        </w:tc>
        <w:tc>
          <w:tcPr>
            <w:tcW w:w="162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3F55" w:rsidRDefault="000E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4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4608" w:type="dxa"/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podkladové materiály (vstupní data) a jejich zpracování</w:t>
            </w:r>
          </w:p>
        </w:tc>
        <w:tc>
          <w:tcPr>
            <w:tcW w:w="1620" w:type="dxa"/>
          </w:tcPr>
          <w:p w:rsidR="007A3F55" w:rsidRDefault="009A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3F55" w:rsidRDefault="007A3F55">
      <w:pPr>
        <w:spacing w:before="12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95"/>
        <w:gridCol w:w="1225"/>
        <w:gridCol w:w="1440"/>
        <w:gridCol w:w="1579"/>
      </w:tblGrid>
      <w:tr w:rsidR="007A3F55">
        <w:trPr>
          <w:cantSplit/>
        </w:trPr>
        <w:tc>
          <w:tcPr>
            <w:tcW w:w="3708" w:type="dxa"/>
            <w:vMerge w:val="restart"/>
          </w:tcPr>
          <w:p w:rsidR="007A3F55" w:rsidRDefault="007A3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kriteria hodnocení práce</w:t>
            </w:r>
          </w:p>
        </w:tc>
        <w:tc>
          <w:tcPr>
            <w:tcW w:w="5539" w:type="dxa"/>
            <w:gridSpan w:val="4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úroveň</w:t>
            </w:r>
          </w:p>
        </w:tc>
      </w:tr>
      <w:tr w:rsidR="007A3F55">
        <w:trPr>
          <w:cantSplit/>
          <w:trHeight w:val="86"/>
        </w:trPr>
        <w:tc>
          <w:tcPr>
            <w:tcW w:w="3708" w:type="dxa"/>
            <w:vMerge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0E7D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průměrná</w:t>
            </w:r>
          </w:p>
        </w:tc>
        <w:tc>
          <w:tcPr>
            <w:tcW w:w="122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průměrná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podprůměrná</w:t>
            </w: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nelze hodnotit</w:t>
            </w: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stupeň splnění cíle práce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21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logická stavba práce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21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 českou literaturou včetně citací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77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adekvátnost použitých metod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21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hloubka provedené analýzy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21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stupeň realizovatelnosti řešení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0E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formální úprava práce (text, grafy, tabulky)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9A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c>
          <w:tcPr>
            <w:tcW w:w="3708" w:type="dxa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stylistická úroveň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9A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rPr>
          <w:cantSplit/>
        </w:trPr>
        <w:tc>
          <w:tcPr>
            <w:tcW w:w="3708" w:type="dxa"/>
            <w:vMerge w:val="restart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nároky DP na podkladové materiály,</w:t>
            </w:r>
          </w:p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konzultace, průzkumy ...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vysoké</w:t>
            </w:r>
          </w:p>
        </w:tc>
        <w:tc>
          <w:tcPr>
            <w:tcW w:w="1225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průměrné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nižší</w:t>
            </w: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nejsou</w:t>
            </w:r>
          </w:p>
        </w:tc>
      </w:tr>
      <w:tr w:rsidR="007A3F55">
        <w:trPr>
          <w:cantSplit/>
        </w:trPr>
        <w:tc>
          <w:tcPr>
            <w:tcW w:w="3708" w:type="dxa"/>
            <w:vMerge/>
          </w:tcPr>
          <w:p w:rsidR="007A3F55" w:rsidRDefault="007A3F5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7A3F55" w:rsidRDefault="009A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rPr>
          <w:cantSplit/>
        </w:trPr>
        <w:tc>
          <w:tcPr>
            <w:tcW w:w="3708" w:type="dxa"/>
            <w:vMerge w:val="restart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 analýz, matem. statistických a jiných</w:t>
            </w:r>
          </w:p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metod, komparací apod.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velké míře</w:t>
            </w:r>
          </w:p>
        </w:tc>
        <w:tc>
          <w:tcPr>
            <w:tcW w:w="1225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přiměřené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částečné</w:t>
            </w: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absentuje</w:t>
            </w:r>
          </w:p>
        </w:tc>
      </w:tr>
      <w:tr w:rsidR="007A3F55">
        <w:trPr>
          <w:cantSplit/>
        </w:trPr>
        <w:tc>
          <w:tcPr>
            <w:tcW w:w="3708" w:type="dxa"/>
            <w:vMerge/>
          </w:tcPr>
          <w:p w:rsidR="007A3F55" w:rsidRDefault="007A3F5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7A3F55" w:rsidRDefault="0077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  <w:tr w:rsidR="007A3F55">
        <w:trPr>
          <w:cantSplit/>
        </w:trPr>
        <w:tc>
          <w:tcPr>
            <w:tcW w:w="3708" w:type="dxa"/>
            <w:vMerge w:val="restart"/>
          </w:tcPr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obsah a relevantnost příloh v textu či příl.</w:t>
            </w:r>
          </w:p>
          <w:p w:rsidR="007A3F55" w:rsidRDefault="007A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části DP (tabulky, grafy, propočty apod.)</w:t>
            </w: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vysoce funkční</w:t>
            </w:r>
          </w:p>
        </w:tc>
        <w:tc>
          <w:tcPr>
            <w:tcW w:w="1225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funkční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méně funkční</w:t>
            </w: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neuspokojivé</w:t>
            </w:r>
          </w:p>
        </w:tc>
      </w:tr>
      <w:tr w:rsidR="007A3F55">
        <w:trPr>
          <w:cantSplit/>
        </w:trPr>
        <w:tc>
          <w:tcPr>
            <w:tcW w:w="3708" w:type="dxa"/>
            <w:vMerge/>
          </w:tcPr>
          <w:p w:rsidR="007A3F55" w:rsidRDefault="007A3F5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A3F55" w:rsidRDefault="000E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A3F55" w:rsidRDefault="007A3F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3F55" w:rsidRDefault="007A3F5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</w:tblGrid>
      <w:tr w:rsidR="007A3F55">
        <w:tc>
          <w:tcPr>
            <w:tcW w:w="6228" w:type="dxa"/>
            <w:tcBorders>
              <w:top w:val="nil"/>
              <w:left w:val="nil"/>
              <w:bottom w:val="nil"/>
            </w:tcBorders>
          </w:tcPr>
          <w:p w:rsidR="007A3F55" w:rsidRDefault="007A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Odpovídající hodnocení jednotlivých hledisek označte:</w:t>
            </w:r>
          </w:p>
        </w:tc>
        <w:tc>
          <w:tcPr>
            <w:tcW w:w="1440" w:type="dxa"/>
          </w:tcPr>
          <w:p w:rsidR="007A3F55" w:rsidRDefault="007A3F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3F55" w:rsidRDefault="007A3F55">
      <w:pPr>
        <w:rPr>
          <w:b/>
          <w:sz w:val="20"/>
          <w:szCs w:val="20"/>
        </w:rPr>
      </w:pPr>
    </w:p>
    <w:p w:rsidR="007A3F55" w:rsidRDefault="007A3F55">
      <w:pPr>
        <w:rPr>
          <w:b/>
        </w:rPr>
      </w:pPr>
      <w:r>
        <w:rPr>
          <w:b/>
        </w:rPr>
        <w:t>Připomínky a otázky k obhajobě:</w:t>
      </w:r>
    </w:p>
    <w:p w:rsidR="007054DE" w:rsidRDefault="007054DE"/>
    <w:p w:rsidR="009A1AA2" w:rsidRDefault="009A1AA2" w:rsidP="0077217D">
      <w:pPr>
        <w:jc w:val="both"/>
      </w:pPr>
      <w:r>
        <w:t xml:space="preserve">Předložená diplomová práce je rozdělena do </w:t>
      </w:r>
      <w:r w:rsidR="0077217D">
        <w:t xml:space="preserve">pěti na sebe navazujících částí. První </w:t>
      </w:r>
      <w:r w:rsidR="008E5F90">
        <w:t xml:space="preserve">tři </w:t>
      </w:r>
      <w:r w:rsidR="0077217D">
        <w:t xml:space="preserve">kapitoly lze označit jako teoretické východisko diplomové práce. Aby mohla být práce hodnocena jako excelentní, musela by provést diplomantka hlubší literární rešerši, a to také ze zahraničních </w:t>
      </w:r>
      <w:r w:rsidR="008E5F90">
        <w:t xml:space="preserve">pramenů. Čtvrtá kapitola představuje zúčastněné podniky v rámci průzkumu. Poslední kapitola provádí analýzu a komparaci benefitů ve vybraných společnostech. Jako pozitivum práce je možno považovat velké množství kvalitně zpracovaných grafů vycházející z dané komparace a šetření. Je možno konstatovat, že zadání diplomové práce bylo splněno. </w:t>
      </w:r>
    </w:p>
    <w:p w:rsidR="008E5F90" w:rsidRDefault="008E5F90" w:rsidP="0077217D">
      <w:pPr>
        <w:jc w:val="both"/>
      </w:pPr>
    </w:p>
    <w:p w:rsidR="006531B1" w:rsidRDefault="006531B1"/>
    <w:p w:rsidR="006531B1" w:rsidRDefault="00961069" w:rsidP="00961069">
      <w:pPr>
        <w:jc w:val="both"/>
      </w:pPr>
      <w:r>
        <w:t>Otázky k obhajobě:</w:t>
      </w:r>
    </w:p>
    <w:p w:rsidR="008E5F90" w:rsidRDefault="008E5F90" w:rsidP="008E5F90">
      <w:pPr>
        <w:pStyle w:val="Odstavecseseznamem"/>
        <w:numPr>
          <w:ilvl w:val="0"/>
          <w:numId w:val="4"/>
        </w:numPr>
        <w:jc w:val="both"/>
      </w:pPr>
      <w:r>
        <w:t>Podle jakého klíče vybírala autorka diplomové práce dané podniky?</w:t>
      </w:r>
    </w:p>
    <w:p w:rsidR="008E5F90" w:rsidRDefault="008E5F90" w:rsidP="008E5F90">
      <w:pPr>
        <w:pStyle w:val="Odstavecseseznamem"/>
        <w:numPr>
          <w:ilvl w:val="0"/>
          <w:numId w:val="4"/>
        </w:numPr>
        <w:jc w:val="both"/>
      </w:pPr>
      <w:r>
        <w:t>Co by diplomantka doporučila managementu k efektivnímu využívání benefitů?</w:t>
      </w:r>
    </w:p>
    <w:p w:rsidR="008E5F90" w:rsidRDefault="008E5F90" w:rsidP="008E5F90">
      <w:pPr>
        <w:pStyle w:val="Odstavecseseznamem"/>
        <w:numPr>
          <w:ilvl w:val="0"/>
          <w:numId w:val="4"/>
        </w:numPr>
        <w:jc w:val="both"/>
      </w:pPr>
      <w:r>
        <w:t>Je možno v sledovaných podnicích zavést tzv. cafetéria systém?</w:t>
      </w:r>
    </w:p>
    <w:p w:rsidR="007054DE" w:rsidRDefault="007054DE" w:rsidP="00961069">
      <w:pPr>
        <w:jc w:val="both"/>
      </w:pPr>
    </w:p>
    <w:p w:rsidR="007A3F55" w:rsidRDefault="007A3F55" w:rsidP="00961069">
      <w:pPr>
        <w:jc w:val="both"/>
      </w:pPr>
      <w:r>
        <w:rPr>
          <w:b/>
        </w:rPr>
        <w:lastRenderedPageBreak/>
        <w:t xml:space="preserve">Práce    je   </w:t>
      </w:r>
      <w:r w:rsidRPr="00A0781F">
        <w:rPr>
          <w:b/>
          <w:strike/>
        </w:rPr>
        <w:t>-   není</w:t>
      </w:r>
      <w:r>
        <w:rPr>
          <w:b/>
        </w:rPr>
        <w:t xml:space="preserve">   doporučena k obhajobě</w:t>
      </w:r>
      <w:r>
        <w:t xml:space="preserve">  (nehodící se škrtněte)</w:t>
      </w:r>
    </w:p>
    <w:p w:rsidR="007A3F55" w:rsidRDefault="007A3F55" w:rsidP="009610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</w:tblGrid>
      <w:tr w:rsidR="007A3F55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7A3F55" w:rsidRDefault="007A3F55" w:rsidP="00961069">
            <w:pPr>
              <w:jc w:val="both"/>
              <w:rPr>
                <w:b/>
              </w:rPr>
            </w:pPr>
            <w:r>
              <w:rPr>
                <w:b/>
              </w:rPr>
              <w:t>Navržený klasifikační stupeň:</w:t>
            </w:r>
          </w:p>
        </w:tc>
        <w:tc>
          <w:tcPr>
            <w:tcW w:w="3420" w:type="dxa"/>
          </w:tcPr>
          <w:p w:rsidR="007A3F55" w:rsidRDefault="008E5F90" w:rsidP="00961069">
            <w:pPr>
              <w:jc w:val="both"/>
            </w:pPr>
            <w:r>
              <w:t>Výborně minus</w:t>
            </w:r>
          </w:p>
        </w:tc>
      </w:tr>
    </w:tbl>
    <w:p w:rsidR="007A3F55" w:rsidRDefault="007A3F55" w:rsidP="00961069">
      <w:pPr>
        <w:jc w:val="both"/>
        <w:rPr>
          <w:sz w:val="20"/>
          <w:szCs w:val="20"/>
        </w:rPr>
      </w:pPr>
      <w:r>
        <w:rPr>
          <w:sz w:val="20"/>
          <w:szCs w:val="20"/>
        </w:rPr>
        <w:t>Do rámečku vypsat slovní hodnocení z této škály:  výborně, velmi dobře, dobře, nevyhověl/a</w:t>
      </w:r>
    </w:p>
    <w:p w:rsidR="007A3F55" w:rsidRDefault="007A3F55" w:rsidP="00961069">
      <w:pPr>
        <w:jc w:val="both"/>
        <w:rPr>
          <w:b/>
        </w:rPr>
      </w:pPr>
    </w:p>
    <w:p w:rsidR="007A3F55" w:rsidRDefault="00084833" w:rsidP="00961069">
      <w:pPr>
        <w:jc w:val="both"/>
        <w:rPr>
          <w:sz w:val="20"/>
          <w:szCs w:val="20"/>
        </w:rPr>
      </w:pPr>
      <w:r>
        <w:rPr>
          <w:b/>
        </w:rPr>
        <w:t>Oponent</w:t>
      </w:r>
      <w:r w:rsidR="007A3F55">
        <w:rPr>
          <w:b/>
        </w:rPr>
        <w:t xml:space="preserve"> diplomové práce:</w:t>
      </w:r>
    </w:p>
    <w:p w:rsidR="007A3F55" w:rsidRDefault="007A3F55" w:rsidP="00961069">
      <w:pPr>
        <w:spacing w:after="240"/>
        <w:jc w:val="both"/>
      </w:pPr>
      <w:r>
        <w:t>Jméno, tituly:</w:t>
      </w:r>
      <w:r w:rsidR="000F5D09">
        <w:tab/>
      </w:r>
      <w:r w:rsidR="005E5E34">
        <w:t>Ing. Zdenek Brodský, Ph.D.</w:t>
      </w:r>
      <w:r>
        <w:t xml:space="preserve">                                                  Podpis:</w:t>
      </w:r>
    </w:p>
    <w:p w:rsidR="007A3F55" w:rsidRDefault="007A3F55" w:rsidP="00961069">
      <w:pPr>
        <w:spacing w:after="240"/>
        <w:jc w:val="both"/>
      </w:pPr>
      <w:r>
        <w:t>V</w:t>
      </w:r>
      <w:r w:rsidR="00961069">
        <w:t xml:space="preserve"> Pardubicích </w:t>
      </w:r>
      <w:r>
        <w:t>dne</w:t>
      </w:r>
      <w:r w:rsidR="00084833">
        <w:t xml:space="preserve"> </w:t>
      </w:r>
      <w:r w:rsidR="0077217D">
        <w:t>24.8</w:t>
      </w:r>
      <w:r w:rsidR="000E1B2A">
        <w:t>.2015</w:t>
      </w:r>
    </w:p>
    <w:sectPr w:rsidR="007A3F55" w:rsidSect="008A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8A5"/>
    <w:multiLevelType w:val="hybridMultilevel"/>
    <w:tmpl w:val="BF42E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0F46"/>
    <w:multiLevelType w:val="hybridMultilevel"/>
    <w:tmpl w:val="3ACC1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11B47"/>
    <w:multiLevelType w:val="hybridMultilevel"/>
    <w:tmpl w:val="341CA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603C"/>
    <w:multiLevelType w:val="hybridMultilevel"/>
    <w:tmpl w:val="2F3C6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E0"/>
    <w:rsid w:val="000200AE"/>
    <w:rsid w:val="00022DF7"/>
    <w:rsid w:val="000766DB"/>
    <w:rsid w:val="00084833"/>
    <w:rsid w:val="000E1B2A"/>
    <w:rsid w:val="000E7D68"/>
    <w:rsid w:val="000F5D09"/>
    <w:rsid w:val="0021322E"/>
    <w:rsid w:val="00401202"/>
    <w:rsid w:val="00582834"/>
    <w:rsid w:val="005E5E34"/>
    <w:rsid w:val="006531B1"/>
    <w:rsid w:val="007054DE"/>
    <w:rsid w:val="0077217D"/>
    <w:rsid w:val="007A3F55"/>
    <w:rsid w:val="008A1EDE"/>
    <w:rsid w:val="008A5074"/>
    <w:rsid w:val="008E5F90"/>
    <w:rsid w:val="00961069"/>
    <w:rsid w:val="00983F91"/>
    <w:rsid w:val="009A1AA2"/>
    <w:rsid w:val="00A0781F"/>
    <w:rsid w:val="00A30E0F"/>
    <w:rsid w:val="00A84218"/>
    <w:rsid w:val="00A949A0"/>
    <w:rsid w:val="00B307F8"/>
    <w:rsid w:val="00BC2206"/>
    <w:rsid w:val="00BC3345"/>
    <w:rsid w:val="00BD70C3"/>
    <w:rsid w:val="00BE6F24"/>
    <w:rsid w:val="00C965E0"/>
    <w:rsid w:val="00CB4254"/>
    <w:rsid w:val="00CC2E49"/>
    <w:rsid w:val="00CC4C4F"/>
    <w:rsid w:val="00E2624C"/>
    <w:rsid w:val="00E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E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E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sotkovad</dc:creator>
  <cp:lastModifiedBy>spravce</cp:lastModifiedBy>
  <cp:revision>2</cp:revision>
  <cp:lastPrinted>2010-04-29T08:10:00Z</cp:lastPrinted>
  <dcterms:created xsi:type="dcterms:W3CDTF">2015-09-01T07:36:00Z</dcterms:created>
  <dcterms:modified xsi:type="dcterms:W3CDTF">2015-09-01T07:36:00Z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-288157716</vt:i4>
  </property>
  <property fmtid="{D5CDD505-2E9C-101B-9397-08002B2CF9AE}" pid="3" name="_EmailSubject">
    <vt:lpwstr>posudek vedoucího DP a BP</vt:lpwstr>
  </property>
  <property fmtid="{D5CDD505-2E9C-101B-9397-08002B2CF9AE}" pid="4" name="_AuthorEmail">
    <vt:lpwstr>jana.kubanova@upce.cz</vt:lpwstr>
  </property>
  <property fmtid="{D5CDD505-2E9C-101B-9397-08002B2CF9AE}" pid="5" name="_AuthorEmailDisplayName">
    <vt:lpwstr>Jana Kubanová</vt:lpwstr>
  </property>
  <property fmtid="{D5CDD505-2E9C-101B-9397-08002B2CF9AE}" pid="6" name="_ReviewingToolsShownOnce">
    <vt:lpwstr/>
  </property>
</Properties>
</file>