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C1C" w:rsidRDefault="00894C1C" w:rsidP="00093493">
      <w:pPr>
        <w:ind w:left="-851" w:hanging="142"/>
        <w:jc w:val="center"/>
        <w:rPr>
          <w:sz w:val="22"/>
          <w:szCs w:val="22"/>
        </w:rPr>
      </w:pPr>
      <w:r>
        <w:rPr>
          <w:sz w:val="22"/>
          <w:szCs w:val="22"/>
        </w:rPr>
        <w:t>Univerzita Pardubice – Fakulta filozofická – KLKS</w:t>
      </w:r>
    </w:p>
    <w:p w:rsidR="00894C1C" w:rsidRDefault="00894C1C"/>
    <w:p w:rsidR="00894C1C" w:rsidRDefault="00894C1C" w:rsidP="00093493">
      <w:pPr>
        <w:snapToGri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Posudek vedoucího bakalářské práce – akademický rok 2012/2013</w:t>
      </w:r>
    </w:p>
    <w:p w:rsidR="00894C1C" w:rsidRDefault="00894C1C"/>
    <w:p w:rsidR="00894C1C" w:rsidRDefault="00894C1C" w:rsidP="00093493">
      <w:pPr>
        <w:snapToGrid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Autor práce:</w:t>
      </w:r>
      <w:r w:rsidR="004C44E2">
        <w:rPr>
          <w:sz w:val="22"/>
          <w:szCs w:val="22"/>
        </w:rPr>
        <w:t xml:space="preserve"> Šárka Svobodová</w:t>
      </w:r>
    </w:p>
    <w:p w:rsidR="00894C1C" w:rsidRDefault="00894C1C" w:rsidP="00093493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Studijní obor:</w:t>
      </w:r>
      <w:r w:rsidR="004C44E2">
        <w:rPr>
          <w:sz w:val="22"/>
          <w:szCs w:val="22"/>
        </w:rPr>
        <w:t xml:space="preserve"> Historicko-literární studia </w:t>
      </w:r>
    </w:p>
    <w:p w:rsidR="00894C1C" w:rsidRDefault="00894C1C" w:rsidP="00093493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Název práce:</w:t>
      </w:r>
      <w:r w:rsidR="004C44E2">
        <w:rPr>
          <w:sz w:val="22"/>
          <w:szCs w:val="22"/>
        </w:rPr>
        <w:t xml:space="preserve"> </w:t>
      </w:r>
      <w:r w:rsidR="00411320">
        <w:rPr>
          <w:sz w:val="22"/>
          <w:szCs w:val="22"/>
        </w:rPr>
        <w:t xml:space="preserve">Dvojí cesta husitstvím: Václav Erben a </w:t>
      </w:r>
      <w:proofErr w:type="spellStart"/>
      <w:r w:rsidR="00411320">
        <w:rPr>
          <w:sz w:val="22"/>
          <w:szCs w:val="22"/>
        </w:rPr>
        <w:t>Andrzej</w:t>
      </w:r>
      <w:proofErr w:type="spellEnd"/>
      <w:r w:rsidR="00411320">
        <w:rPr>
          <w:sz w:val="22"/>
          <w:szCs w:val="22"/>
        </w:rPr>
        <w:t xml:space="preserve"> </w:t>
      </w:r>
      <w:proofErr w:type="spellStart"/>
      <w:r w:rsidR="00411320">
        <w:rPr>
          <w:sz w:val="22"/>
          <w:szCs w:val="22"/>
        </w:rPr>
        <w:t>Sapkowski</w:t>
      </w:r>
      <w:proofErr w:type="spellEnd"/>
      <w:r w:rsidR="00411320">
        <w:rPr>
          <w:sz w:val="22"/>
          <w:szCs w:val="22"/>
        </w:rPr>
        <w:t xml:space="preserve"> </w:t>
      </w:r>
    </w:p>
    <w:p w:rsidR="00894C1C" w:rsidRDefault="00894C1C" w:rsidP="00093493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Vedoucí práce:</w:t>
      </w:r>
      <w:r w:rsidR="00411320">
        <w:rPr>
          <w:sz w:val="22"/>
          <w:szCs w:val="22"/>
        </w:rPr>
        <w:t xml:space="preserve"> PhDr. Antonín </w:t>
      </w:r>
      <w:proofErr w:type="spellStart"/>
      <w:r w:rsidR="00411320">
        <w:rPr>
          <w:sz w:val="22"/>
          <w:szCs w:val="22"/>
        </w:rPr>
        <w:t>Kudláč</w:t>
      </w:r>
      <w:proofErr w:type="spellEnd"/>
    </w:p>
    <w:p w:rsidR="00894C1C" w:rsidRDefault="00894C1C" w:rsidP="00093493">
      <w:pPr>
        <w:pBdr>
          <w:bottom w:val="single" w:sz="12" w:space="1" w:color="auto"/>
        </w:pBd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Oponent práce:</w:t>
      </w:r>
      <w:r w:rsidR="00411320">
        <w:rPr>
          <w:sz w:val="22"/>
          <w:szCs w:val="22"/>
        </w:rPr>
        <w:t xml:space="preserve"> Mgr. Jiří Studený, </w:t>
      </w:r>
      <w:proofErr w:type="spellStart"/>
      <w:r w:rsidR="00411320">
        <w:rPr>
          <w:sz w:val="22"/>
          <w:szCs w:val="22"/>
        </w:rPr>
        <w:t>Ph.D</w:t>
      </w:r>
      <w:proofErr w:type="spellEnd"/>
      <w:r w:rsidR="00411320">
        <w:rPr>
          <w:sz w:val="22"/>
          <w:szCs w:val="22"/>
        </w:rPr>
        <w:t xml:space="preserve">. </w:t>
      </w:r>
    </w:p>
    <w:p w:rsidR="00894C1C" w:rsidRDefault="00894C1C" w:rsidP="00093493">
      <w:pPr>
        <w:rPr>
          <w:sz w:val="22"/>
          <w:szCs w:val="22"/>
        </w:rPr>
      </w:pPr>
    </w:p>
    <w:p w:rsidR="00894C1C" w:rsidRDefault="00894C1C" w:rsidP="00093493">
      <w:pPr>
        <w:rPr>
          <w:sz w:val="22"/>
          <w:szCs w:val="22"/>
        </w:rPr>
      </w:pPr>
      <w:r>
        <w:rPr>
          <w:b/>
          <w:bCs/>
          <w:sz w:val="22"/>
          <w:szCs w:val="22"/>
        </w:rPr>
        <w:t>I. Formulace cílů práce, metodologie</w:t>
      </w:r>
      <w:r>
        <w:rPr>
          <w:sz w:val="22"/>
          <w:szCs w:val="22"/>
        </w:rPr>
        <w:t xml:space="preserve"> </w:t>
      </w:r>
    </w:p>
    <w:p w:rsidR="00894C1C" w:rsidRDefault="00894C1C" w:rsidP="00093493">
      <w:pPr>
        <w:rPr>
          <w:sz w:val="22"/>
          <w:szCs w:val="22"/>
        </w:rPr>
      </w:pPr>
      <w:r>
        <w:rPr>
          <w:sz w:val="22"/>
          <w:szCs w:val="22"/>
        </w:rPr>
        <w:t>(adekvátnost formulace cílů, vymezení tématu odpovídající rozsahu BP, adekvátnost zvolené metodologie)</w:t>
      </w:r>
    </w:p>
    <w:p w:rsidR="00894C1C" w:rsidRDefault="00894C1C" w:rsidP="00093493">
      <w:pPr>
        <w:rPr>
          <w:sz w:val="22"/>
          <w:szCs w:val="22"/>
        </w:rPr>
      </w:pPr>
    </w:p>
    <w:p w:rsidR="00894C1C" w:rsidRDefault="007E7849" w:rsidP="00093493">
      <w:pPr>
        <w:tabs>
          <w:tab w:val="left" w:pos="10928"/>
        </w:tabs>
        <w:ind w:left="-211" w:firstLine="211"/>
        <w:rPr>
          <w:sz w:val="22"/>
          <w:szCs w:val="22"/>
        </w:rPr>
      </w:pPr>
      <w:r>
        <w:rPr>
          <w:sz w:val="22"/>
          <w:szCs w:val="22"/>
        </w:rPr>
        <w:t xml:space="preserve">Cíle posuzované práce jsou poměrně podrobně </w:t>
      </w:r>
      <w:r w:rsidR="009126E0">
        <w:rPr>
          <w:sz w:val="22"/>
          <w:szCs w:val="22"/>
        </w:rPr>
        <w:t xml:space="preserve">a srozumitelně </w:t>
      </w:r>
      <w:r>
        <w:rPr>
          <w:sz w:val="22"/>
          <w:szCs w:val="22"/>
        </w:rPr>
        <w:t>vysvětleny v úvodní stati</w:t>
      </w:r>
      <w:r w:rsidR="009126E0">
        <w:rPr>
          <w:sz w:val="22"/>
          <w:szCs w:val="22"/>
        </w:rPr>
        <w:t xml:space="preserve">. </w:t>
      </w:r>
      <w:r w:rsidR="004B1848">
        <w:rPr>
          <w:sz w:val="22"/>
          <w:szCs w:val="22"/>
        </w:rPr>
        <w:t xml:space="preserve">Zvolené téma </w:t>
      </w:r>
      <w:r w:rsidR="008C5E7A">
        <w:rPr>
          <w:sz w:val="22"/>
          <w:szCs w:val="22"/>
        </w:rPr>
        <w:t xml:space="preserve">plně odpovídá </w:t>
      </w:r>
      <w:r w:rsidR="00B97914">
        <w:rPr>
          <w:sz w:val="22"/>
          <w:szCs w:val="22"/>
        </w:rPr>
        <w:t xml:space="preserve">rozsahu bakalářské práce. </w:t>
      </w:r>
      <w:r w:rsidR="00C60E3C">
        <w:rPr>
          <w:sz w:val="22"/>
          <w:szCs w:val="22"/>
        </w:rPr>
        <w:t>Rovněž využit</w:t>
      </w:r>
      <w:r w:rsidR="00E7076D">
        <w:rPr>
          <w:sz w:val="22"/>
          <w:szCs w:val="22"/>
        </w:rPr>
        <w:t>ou</w:t>
      </w:r>
      <w:r w:rsidR="00C60E3C">
        <w:rPr>
          <w:sz w:val="22"/>
          <w:szCs w:val="22"/>
        </w:rPr>
        <w:t xml:space="preserve"> metodologi</w:t>
      </w:r>
      <w:r w:rsidR="00E7076D">
        <w:rPr>
          <w:sz w:val="22"/>
          <w:szCs w:val="22"/>
        </w:rPr>
        <w:t xml:space="preserve">i považuji za adekvátní. </w:t>
      </w:r>
      <w:r w:rsidR="00C60E3C">
        <w:rPr>
          <w:sz w:val="22"/>
          <w:szCs w:val="22"/>
        </w:rPr>
        <w:t xml:space="preserve"> </w:t>
      </w:r>
      <w:r w:rsidR="004B184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 w:rsidR="00894C1C" w:rsidRDefault="00894C1C" w:rsidP="00093493">
      <w:pPr>
        <w:rPr>
          <w:sz w:val="22"/>
          <w:szCs w:val="22"/>
        </w:rPr>
      </w:pPr>
    </w:p>
    <w:p w:rsidR="00894C1C" w:rsidRDefault="00894C1C" w:rsidP="00093493">
      <w:pPr>
        <w:rPr>
          <w:sz w:val="22"/>
          <w:szCs w:val="22"/>
        </w:rPr>
      </w:pPr>
      <w:r>
        <w:rPr>
          <w:sz w:val="22"/>
          <w:szCs w:val="22"/>
        </w:rPr>
        <w:t>body (0–4)</w:t>
      </w:r>
      <w:r>
        <w:rPr>
          <w:rStyle w:val="Znakapoznpodarou1"/>
          <w:sz w:val="22"/>
          <w:szCs w:val="22"/>
        </w:rPr>
        <w:footnoteReference w:customMarkFollows="1" w:id="1"/>
        <w:t>*</w:t>
      </w:r>
      <w:r>
        <w:rPr>
          <w:sz w:val="22"/>
          <w:szCs w:val="22"/>
        </w:rPr>
        <w:t xml:space="preserve"> </w:t>
      </w: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146"/>
      </w:tblGrid>
      <w:tr w:rsidR="00894C1C" w:rsidTr="005C33A8">
        <w:trPr>
          <w:trHeight w:val="276"/>
        </w:trPr>
        <w:tc>
          <w:tcPr>
            <w:tcW w:w="114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4C1C" w:rsidRDefault="00B33EF4" w:rsidP="005C33A8">
            <w:pPr>
              <w:pStyle w:val="Obsahtabulky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</w:tbl>
    <w:p w:rsidR="00894C1C" w:rsidRDefault="00894C1C" w:rsidP="00093493">
      <w:pPr>
        <w:rPr>
          <w:b/>
          <w:bCs/>
          <w:sz w:val="22"/>
          <w:szCs w:val="22"/>
        </w:rPr>
      </w:pPr>
    </w:p>
    <w:p w:rsidR="00894C1C" w:rsidRDefault="00894C1C" w:rsidP="00093493">
      <w:pPr>
        <w:rPr>
          <w:sz w:val="22"/>
          <w:szCs w:val="22"/>
        </w:rPr>
      </w:pPr>
      <w:r>
        <w:rPr>
          <w:b/>
          <w:bCs/>
          <w:sz w:val="22"/>
          <w:szCs w:val="22"/>
        </w:rPr>
        <w:t>II. Naplnění stanovených cílů</w:t>
      </w:r>
      <w:r>
        <w:rPr>
          <w:sz w:val="22"/>
          <w:szCs w:val="22"/>
        </w:rPr>
        <w:t xml:space="preserve"> </w:t>
      </w:r>
    </w:p>
    <w:p w:rsidR="00894C1C" w:rsidRDefault="00894C1C" w:rsidP="00093493">
      <w:pPr>
        <w:rPr>
          <w:sz w:val="22"/>
          <w:szCs w:val="22"/>
        </w:rPr>
      </w:pPr>
      <w:r>
        <w:rPr>
          <w:sz w:val="22"/>
          <w:szCs w:val="22"/>
        </w:rPr>
        <w:t xml:space="preserve">(odpovídající zpracování a interpretace výsledků, závěry práce, diskuse práce /porovnání výsledků práce s výsledky dosavadních bádání k tématu/, autorský přínos práce) </w:t>
      </w:r>
    </w:p>
    <w:p w:rsidR="00894C1C" w:rsidRDefault="00894C1C" w:rsidP="00093493">
      <w:pPr>
        <w:rPr>
          <w:sz w:val="22"/>
          <w:szCs w:val="22"/>
        </w:rPr>
      </w:pPr>
    </w:p>
    <w:p w:rsidR="00894C1C" w:rsidRDefault="00DE618B" w:rsidP="00093493">
      <w:pPr>
        <w:rPr>
          <w:sz w:val="22"/>
          <w:szCs w:val="22"/>
        </w:rPr>
      </w:pPr>
      <w:r>
        <w:rPr>
          <w:sz w:val="22"/>
          <w:szCs w:val="22"/>
        </w:rPr>
        <w:t xml:space="preserve">Cíle, které si autorka práce předsevzala, </w:t>
      </w:r>
      <w:r w:rsidR="00977F2E">
        <w:rPr>
          <w:sz w:val="22"/>
          <w:szCs w:val="22"/>
        </w:rPr>
        <w:t xml:space="preserve">zcela </w:t>
      </w:r>
      <w:r>
        <w:rPr>
          <w:sz w:val="22"/>
          <w:szCs w:val="22"/>
        </w:rPr>
        <w:t xml:space="preserve">naplnila. </w:t>
      </w:r>
      <w:r w:rsidR="005D37C1">
        <w:rPr>
          <w:sz w:val="22"/>
          <w:szCs w:val="22"/>
        </w:rPr>
        <w:t xml:space="preserve">Její komparace dvou odlišných </w:t>
      </w:r>
      <w:r w:rsidR="002A1B13">
        <w:rPr>
          <w:sz w:val="22"/>
          <w:szCs w:val="22"/>
        </w:rPr>
        <w:t xml:space="preserve">přístupů k literárnímu zpracování </w:t>
      </w:r>
      <w:r w:rsidR="00CE241C">
        <w:rPr>
          <w:sz w:val="22"/>
          <w:szCs w:val="22"/>
        </w:rPr>
        <w:t>husitské tematiky</w:t>
      </w:r>
      <w:r w:rsidR="00981D73">
        <w:rPr>
          <w:sz w:val="22"/>
          <w:szCs w:val="22"/>
        </w:rPr>
        <w:t xml:space="preserve">, reprezentovanými </w:t>
      </w:r>
      <w:r w:rsidR="00C15D94">
        <w:rPr>
          <w:sz w:val="22"/>
          <w:szCs w:val="22"/>
        </w:rPr>
        <w:t xml:space="preserve">díly V. Erbena a </w:t>
      </w:r>
      <w:proofErr w:type="spellStart"/>
      <w:r w:rsidR="00C15D94">
        <w:rPr>
          <w:sz w:val="22"/>
          <w:szCs w:val="22"/>
        </w:rPr>
        <w:t>A</w:t>
      </w:r>
      <w:proofErr w:type="spellEnd"/>
      <w:r w:rsidR="00C15D94">
        <w:rPr>
          <w:sz w:val="22"/>
          <w:szCs w:val="22"/>
        </w:rPr>
        <w:t xml:space="preserve">. </w:t>
      </w:r>
      <w:proofErr w:type="spellStart"/>
      <w:r w:rsidR="00C15D94">
        <w:rPr>
          <w:sz w:val="22"/>
          <w:szCs w:val="22"/>
        </w:rPr>
        <w:t>Sapkowskeho</w:t>
      </w:r>
      <w:proofErr w:type="spellEnd"/>
      <w:r w:rsidR="00C15D94">
        <w:rPr>
          <w:sz w:val="22"/>
          <w:szCs w:val="22"/>
        </w:rPr>
        <w:t xml:space="preserve">, </w:t>
      </w:r>
      <w:r w:rsidR="00C97488">
        <w:rPr>
          <w:sz w:val="22"/>
          <w:szCs w:val="22"/>
        </w:rPr>
        <w:t xml:space="preserve">zajímavě </w:t>
      </w:r>
      <w:r w:rsidR="00303C23">
        <w:rPr>
          <w:sz w:val="22"/>
          <w:szCs w:val="22"/>
        </w:rPr>
        <w:t xml:space="preserve">reflektuje </w:t>
      </w:r>
      <w:r w:rsidR="00C97488">
        <w:rPr>
          <w:sz w:val="22"/>
          <w:szCs w:val="22"/>
        </w:rPr>
        <w:t xml:space="preserve">současný stav (nejen) české historické prózy </w:t>
      </w:r>
      <w:r w:rsidR="00E331C6">
        <w:rPr>
          <w:sz w:val="22"/>
          <w:szCs w:val="22"/>
        </w:rPr>
        <w:t>–</w:t>
      </w:r>
      <w:r w:rsidR="00303C23">
        <w:rPr>
          <w:sz w:val="22"/>
          <w:szCs w:val="22"/>
        </w:rPr>
        <w:t xml:space="preserve"> </w:t>
      </w:r>
      <w:r w:rsidR="00E331C6">
        <w:rPr>
          <w:sz w:val="22"/>
          <w:szCs w:val="22"/>
        </w:rPr>
        <w:t xml:space="preserve">v podstatě doplňuje a konkretizuje některé závěry nedávné studie Erika </w:t>
      </w:r>
      <w:proofErr w:type="spellStart"/>
      <w:r w:rsidR="00E331C6">
        <w:rPr>
          <w:sz w:val="22"/>
          <w:szCs w:val="22"/>
        </w:rPr>
        <w:t>Gilka</w:t>
      </w:r>
      <w:proofErr w:type="spellEnd"/>
      <w:r w:rsidR="00CE241C">
        <w:rPr>
          <w:sz w:val="22"/>
          <w:szCs w:val="22"/>
        </w:rPr>
        <w:t xml:space="preserve"> </w:t>
      </w:r>
      <w:r w:rsidR="00E331C6">
        <w:rPr>
          <w:sz w:val="22"/>
          <w:szCs w:val="22"/>
        </w:rPr>
        <w:t>(Host 1</w:t>
      </w:r>
      <w:r w:rsidR="00657064">
        <w:rPr>
          <w:sz w:val="22"/>
          <w:szCs w:val="22"/>
        </w:rPr>
        <w:t>/</w:t>
      </w:r>
      <w:r w:rsidR="00E331C6">
        <w:rPr>
          <w:sz w:val="22"/>
          <w:szCs w:val="22"/>
        </w:rPr>
        <w:t xml:space="preserve">2011). </w:t>
      </w:r>
      <w:r w:rsidR="00101979">
        <w:rPr>
          <w:sz w:val="22"/>
          <w:szCs w:val="22"/>
        </w:rPr>
        <w:t>B</w:t>
      </w:r>
      <w:r w:rsidR="00D24BE4">
        <w:rPr>
          <w:sz w:val="22"/>
          <w:szCs w:val="22"/>
        </w:rPr>
        <w:t xml:space="preserve">akalářská práce Š. Svobodové </w:t>
      </w:r>
      <w:r w:rsidR="00101979">
        <w:rPr>
          <w:sz w:val="22"/>
          <w:szCs w:val="22"/>
        </w:rPr>
        <w:t xml:space="preserve">tímto </w:t>
      </w:r>
      <w:r w:rsidR="00DD006F">
        <w:rPr>
          <w:sz w:val="22"/>
          <w:szCs w:val="22"/>
        </w:rPr>
        <w:t xml:space="preserve">představuje </w:t>
      </w:r>
      <w:r w:rsidR="00496788">
        <w:rPr>
          <w:sz w:val="22"/>
          <w:szCs w:val="22"/>
        </w:rPr>
        <w:t xml:space="preserve">osobitý </w:t>
      </w:r>
      <w:r w:rsidR="0095594F">
        <w:rPr>
          <w:sz w:val="22"/>
          <w:szCs w:val="22"/>
        </w:rPr>
        <w:t xml:space="preserve">příspěvek k tématu </w:t>
      </w:r>
      <w:r w:rsidR="00496788">
        <w:rPr>
          <w:sz w:val="22"/>
          <w:szCs w:val="22"/>
        </w:rPr>
        <w:t xml:space="preserve">výzkumu </w:t>
      </w:r>
      <w:r w:rsidR="0095594F">
        <w:rPr>
          <w:sz w:val="22"/>
          <w:szCs w:val="22"/>
        </w:rPr>
        <w:t xml:space="preserve">novodobé žánrové beletrie.   </w:t>
      </w:r>
      <w:r w:rsidR="005D37C1">
        <w:rPr>
          <w:sz w:val="22"/>
          <w:szCs w:val="22"/>
        </w:rPr>
        <w:t xml:space="preserve"> </w:t>
      </w:r>
    </w:p>
    <w:p w:rsidR="00894C1C" w:rsidRDefault="00894C1C" w:rsidP="00093493">
      <w:pPr>
        <w:rPr>
          <w:sz w:val="22"/>
          <w:szCs w:val="22"/>
        </w:rPr>
      </w:pPr>
    </w:p>
    <w:p w:rsidR="00894C1C" w:rsidRDefault="00894C1C" w:rsidP="00093493">
      <w:pPr>
        <w:rPr>
          <w:sz w:val="22"/>
          <w:szCs w:val="22"/>
        </w:rPr>
      </w:pPr>
      <w:r>
        <w:rPr>
          <w:sz w:val="22"/>
          <w:szCs w:val="22"/>
        </w:rPr>
        <w:t>body (0–4)</w:t>
      </w: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137"/>
      </w:tblGrid>
      <w:tr w:rsidR="00894C1C" w:rsidTr="005C33A8">
        <w:trPr>
          <w:trHeight w:val="276"/>
        </w:trPr>
        <w:tc>
          <w:tcPr>
            <w:tcW w:w="113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4C1C" w:rsidRDefault="00B33EF4" w:rsidP="005C33A8">
            <w:pPr>
              <w:pStyle w:val="Obsahtabulky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</w:tbl>
    <w:p w:rsidR="00894C1C" w:rsidRDefault="00894C1C" w:rsidP="00E90B05">
      <w:pPr>
        <w:rPr>
          <w:sz w:val="22"/>
          <w:szCs w:val="22"/>
        </w:rPr>
      </w:pPr>
    </w:p>
    <w:p w:rsidR="00894C1C" w:rsidRDefault="00894C1C" w:rsidP="00093493">
      <w:pPr>
        <w:rPr>
          <w:sz w:val="22"/>
          <w:szCs w:val="22"/>
        </w:rPr>
      </w:pPr>
      <w:r>
        <w:rPr>
          <w:b/>
          <w:bCs/>
          <w:sz w:val="22"/>
          <w:szCs w:val="22"/>
        </w:rPr>
        <w:t>III. Obsahové zpracování, přístup k řešení, řešení dílčích problémů</w:t>
      </w:r>
      <w:r>
        <w:rPr>
          <w:sz w:val="22"/>
          <w:szCs w:val="22"/>
        </w:rPr>
        <w:t xml:space="preserve"> </w:t>
      </w:r>
    </w:p>
    <w:p w:rsidR="00894C1C" w:rsidRDefault="00894C1C" w:rsidP="00093493">
      <w:pPr>
        <w:rPr>
          <w:sz w:val="22"/>
          <w:szCs w:val="22"/>
        </w:rPr>
      </w:pPr>
      <w:r>
        <w:rPr>
          <w:sz w:val="22"/>
          <w:szCs w:val="22"/>
        </w:rPr>
        <w:t xml:space="preserve">(struktura a </w:t>
      </w:r>
      <w:proofErr w:type="spellStart"/>
      <w:r>
        <w:rPr>
          <w:sz w:val="22"/>
          <w:szCs w:val="22"/>
        </w:rPr>
        <w:t>koheznost</w:t>
      </w:r>
      <w:proofErr w:type="spellEnd"/>
      <w:r>
        <w:rPr>
          <w:sz w:val="22"/>
          <w:szCs w:val="22"/>
        </w:rPr>
        <w:t xml:space="preserve"> práce, vhled do problematiky, využití relevantních odborných zdrojů, adekvátní pojmový aparát, praktická aplikace teoretického rámce, samostatnost zpracování)</w:t>
      </w:r>
    </w:p>
    <w:p w:rsidR="00894C1C" w:rsidRDefault="00894C1C" w:rsidP="00093493">
      <w:pPr>
        <w:rPr>
          <w:sz w:val="22"/>
          <w:szCs w:val="22"/>
        </w:rPr>
      </w:pPr>
    </w:p>
    <w:p w:rsidR="0095594F" w:rsidRDefault="00207C22" w:rsidP="00093493">
      <w:pPr>
        <w:rPr>
          <w:sz w:val="22"/>
          <w:szCs w:val="22"/>
        </w:rPr>
      </w:pPr>
      <w:r>
        <w:rPr>
          <w:sz w:val="22"/>
          <w:szCs w:val="22"/>
        </w:rPr>
        <w:t xml:space="preserve">Práce kolegyně Svobodové </w:t>
      </w:r>
      <w:r w:rsidR="003103C2">
        <w:rPr>
          <w:sz w:val="22"/>
          <w:szCs w:val="22"/>
        </w:rPr>
        <w:t xml:space="preserve">má logickou strukturu, </w:t>
      </w:r>
      <w:r w:rsidR="00BB2909">
        <w:rPr>
          <w:sz w:val="22"/>
          <w:szCs w:val="22"/>
        </w:rPr>
        <w:t xml:space="preserve">postupuje od širšího kontextu </w:t>
      </w:r>
      <w:r w:rsidR="00A64170">
        <w:rPr>
          <w:sz w:val="22"/>
          <w:szCs w:val="22"/>
        </w:rPr>
        <w:t>vývoje české historické beletrie ve 20. století k</w:t>
      </w:r>
      <w:r w:rsidR="006869B0">
        <w:rPr>
          <w:sz w:val="22"/>
          <w:szCs w:val="22"/>
        </w:rPr>
        <w:t xml:space="preserve">e srovnání </w:t>
      </w:r>
      <w:r w:rsidR="00E05D39">
        <w:rPr>
          <w:sz w:val="22"/>
          <w:szCs w:val="22"/>
        </w:rPr>
        <w:t xml:space="preserve">dvou </w:t>
      </w:r>
      <w:r w:rsidR="006869B0">
        <w:rPr>
          <w:sz w:val="22"/>
          <w:szCs w:val="22"/>
        </w:rPr>
        <w:t xml:space="preserve">konkrétních děl </w:t>
      </w:r>
      <w:r w:rsidR="00E05D39">
        <w:rPr>
          <w:sz w:val="22"/>
          <w:szCs w:val="22"/>
        </w:rPr>
        <w:t>autorů, kter</w:t>
      </w:r>
      <w:r w:rsidR="00856137">
        <w:rPr>
          <w:sz w:val="22"/>
          <w:szCs w:val="22"/>
        </w:rPr>
        <w:t>á</w:t>
      </w:r>
      <w:r w:rsidR="00E05D39">
        <w:rPr>
          <w:sz w:val="22"/>
          <w:szCs w:val="22"/>
        </w:rPr>
        <w:t xml:space="preserve"> zastupují </w:t>
      </w:r>
      <w:r w:rsidR="00856137">
        <w:rPr>
          <w:sz w:val="22"/>
          <w:szCs w:val="22"/>
        </w:rPr>
        <w:t xml:space="preserve">různé modely </w:t>
      </w:r>
      <w:r w:rsidR="00361D28">
        <w:rPr>
          <w:sz w:val="22"/>
          <w:szCs w:val="22"/>
        </w:rPr>
        <w:t xml:space="preserve">uměleckého </w:t>
      </w:r>
      <w:r w:rsidR="00856137">
        <w:rPr>
          <w:sz w:val="22"/>
          <w:szCs w:val="22"/>
        </w:rPr>
        <w:t xml:space="preserve">uchopení </w:t>
      </w:r>
      <w:r w:rsidR="00D2296C">
        <w:rPr>
          <w:sz w:val="22"/>
          <w:szCs w:val="22"/>
        </w:rPr>
        <w:t xml:space="preserve">husitské tematiky. </w:t>
      </w:r>
      <w:r w:rsidR="00B2354C">
        <w:rPr>
          <w:sz w:val="22"/>
          <w:szCs w:val="22"/>
        </w:rPr>
        <w:t xml:space="preserve">Zvláštní důraz přitom klade na </w:t>
      </w:r>
      <w:r w:rsidR="00BB29F1">
        <w:rPr>
          <w:sz w:val="22"/>
          <w:szCs w:val="22"/>
        </w:rPr>
        <w:t xml:space="preserve">analýzu </w:t>
      </w:r>
      <w:r w:rsidR="008D6521">
        <w:rPr>
          <w:sz w:val="22"/>
          <w:szCs w:val="22"/>
        </w:rPr>
        <w:t xml:space="preserve">ústředních postav komparovaných </w:t>
      </w:r>
      <w:r w:rsidR="00930747">
        <w:rPr>
          <w:sz w:val="22"/>
          <w:szCs w:val="22"/>
        </w:rPr>
        <w:t>próz</w:t>
      </w:r>
      <w:r w:rsidR="008D6521">
        <w:rPr>
          <w:sz w:val="22"/>
          <w:szCs w:val="22"/>
        </w:rPr>
        <w:t xml:space="preserve">. </w:t>
      </w:r>
      <w:r w:rsidR="00C11E15">
        <w:rPr>
          <w:sz w:val="22"/>
          <w:szCs w:val="22"/>
        </w:rPr>
        <w:t xml:space="preserve">Autorka práce </w:t>
      </w:r>
      <w:r w:rsidR="00C02355">
        <w:rPr>
          <w:sz w:val="22"/>
          <w:szCs w:val="22"/>
        </w:rPr>
        <w:t xml:space="preserve">prokazuje </w:t>
      </w:r>
      <w:r w:rsidR="00D62108">
        <w:rPr>
          <w:sz w:val="22"/>
          <w:szCs w:val="22"/>
        </w:rPr>
        <w:t xml:space="preserve">schopnost </w:t>
      </w:r>
      <w:r w:rsidR="00E568F6">
        <w:rPr>
          <w:sz w:val="22"/>
          <w:szCs w:val="22"/>
        </w:rPr>
        <w:t xml:space="preserve">promýšlení </w:t>
      </w:r>
      <w:r w:rsidR="00E90B05">
        <w:rPr>
          <w:sz w:val="22"/>
          <w:szCs w:val="22"/>
        </w:rPr>
        <w:t xml:space="preserve">významů </w:t>
      </w:r>
      <w:r w:rsidR="00930747">
        <w:rPr>
          <w:sz w:val="22"/>
          <w:szCs w:val="22"/>
        </w:rPr>
        <w:t xml:space="preserve">zkoumaných textů, </w:t>
      </w:r>
      <w:r w:rsidR="00525E87">
        <w:rPr>
          <w:sz w:val="22"/>
          <w:szCs w:val="22"/>
        </w:rPr>
        <w:t>využívá vhodn</w:t>
      </w:r>
      <w:r w:rsidR="00460C5D">
        <w:rPr>
          <w:sz w:val="22"/>
          <w:szCs w:val="22"/>
        </w:rPr>
        <w:t xml:space="preserve">é odborné literatury, ovládá příslušný pojmový </w:t>
      </w:r>
      <w:r w:rsidR="00386430">
        <w:rPr>
          <w:sz w:val="22"/>
          <w:szCs w:val="22"/>
        </w:rPr>
        <w:t xml:space="preserve">aparát. </w:t>
      </w:r>
      <w:r w:rsidR="000022F0">
        <w:rPr>
          <w:sz w:val="22"/>
          <w:szCs w:val="22"/>
        </w:rPr>
        <w:t xml:space="preserve">Metodologickou dovednost </w:t>
      </w:r>
      <w:r w:rsidR="001456BC">
        <w:rPr>
          <w:sz w:val="22"/>
          <w:szCs w:val="22"/>
        </w:rPr>
        <w:t xml:space="preserve">ukazuje např. při aplikaci </w:t>
      </w:r>
      <w:r w:rsidR="00F26D8B">
        <w:rPr>
          <w:sz w:val="22"/>
          <w:szCs w:val="22"/>
        </w:rPr>
        <w:t xml:space="preserve">teorie fikčních světů v kap. 7 (s. 29-34). </w:t>
      </w:r>
      <w:r w:rsidR="00525E87">
        <w:rPr>
          <w:sz w:val="22"/>
          <w:szCs w:val="22"/>
        </w:rPr>
        <w:t xml:space="preserve"> </w:t>
      </w:r>
      <w:r w:rsidR="00D62108">
        <w:rPr>
          <w:sz w:val="22"/>
          <w:szCs w:val="22"/>
        </w:rPr>
        <w:t xml:space="preserve"> </w:t>
      </w:r>
      <w:r w:rsidR="00B9627E">
        <w:rPr>
          <w:sz w:val="22"/>
          <w:szCs w:val="22"/>
        </w:rPr>
        <w:t xml:space="preserve"> </w:t>
      </w:r>
      <w:r w:rsidR="00276073">
        <w:rPr>
          <w:sz w:val="22"/>
          <w:szCs w:val="22"/>
        </w:rPr>
        <w:t xml:space="preserve"> </w:t>
      </w:r>
      <w:r w:rsidR="00A64170">
        <w:rPr>
          <w:sz w:val="22"/>
          <w:szCs w:val="22"/>
        </w:rPr>
        <w:t xml:space="preserve"> </w:t>
      </w:r>
      <w:r w:rsidR="00436484">
        <w:rPr>
          <w:sz w:val="22"/>
          <w:szCs w:val="22"/>
        </w:rPr>
        <w:t xml:space="preserve"> </w:t>
      </w:r>
    </w:p>
    <w:p w:rsidR="00894C1C" w:rsidRDefault="00894C1C" w:rsidP="00093493">
      <w:pPr>
        <w:rPr>
          <w:sz w:val="22"/>
          <w:szCs w:val="22"/>
        </w:rPr>
      </w:pPr>
    </w:p>
    <w:p w:rsidR="00894C1C" w:rsidRDefault="00894C1C" w:rsidP="00093493">
      <w:pPr>
        <w:rPr>
          <w:sz w:val="22"/>
          <w:szCs w:val="22"/>
        </w:rPr>
      </w:pPr>
    </w:p>
    <w:p w:rsidR="00894C1C" w:rsidRDefault="00894C1C" w:rsidP="00093493">
      <w:pPr>
        <w:rPr>
          <w:sz w:val="22"/>
          <w:szCs w:val="22"/>
        </w:rPr>
      </w:pPr>
      <w:r>
        <w:rPr>
          <w:sz w:val="22"/>
          <w:szCs w:val="22"/>
        </w:rPr>
        <w:t>body (0–4)</w:t>
      </w: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137"/>
      </w:tblGrid>
      <w:tr w:rsidR="00894C1C" w:rsidTr="005C33A8">
        <w:trPr>
          <w:trHeight w:val="276"/>
        </w:trPr>
        <w:tc>
          <w:tcPr>
            <w:tcW w:w="113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4C1C" w:rsidRDefault="00B33EF4" w:rsidP="005C33A8">
            <w:pPr>
              <w:pStyle w:val="Obsahtabulky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</w:tbl>
    <w:p w:rsidR="00894C1C" w:rsidRDefault="00894C1C" w:rsidP="00093493">
      <w:pPr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IV. Formální náležitosti práce a její úprava</w:t>
      </w:r>
      <w:r>
        <w:rPr>
          <w:sz w:val="22"/>
          <w:szCs w:val="22"/>
        </w:rPr>
        <w:t xml:space="preserve"> </w:t>
      </w:r>
    </w:p>
    <w:p w:rsidR="00894C1C" w:rsidRDefault="00894C1C" w:rsidP="00093493">
      <w:pPr>
        <w:rPr>
          <w:sz w:val="22"/>
          <w:szCs w:val="22"/>
        </w:rPr>
      </w:pPr>
      <w:r>
        <w:rPr>
          <w:sz w:val="22"/>
          <w:szCs w:val="22"/>
        </w:rPr>
        <w:t xml:space="preserve">(jazyková a stylistická úroveň, grafická úprava, dodržení příslušných citačních norem) </w:t>
      </w:r>
    </w:p>
    <w:p w:rsidR="00894C1C" w:rsidRDefault="00894C1C" w:rsidP="00093493">
      <w:pPr>
        <w:rPr>
          <w:sz w:val="22"/>
          <w:szCs w:val="22"/>
        </w:rPr>
      </w:pPr>
    </w:p>
    <w:p w:rsidR="00894C1C" w:rsidRDefault="001E1F9A" w:rsidP="00093493">
      <w:pPr>
        <w:rPr>
          <w:sz w:val="22"/>
          <w:szCs w:val="22"/>
        </w:rPr>
      </w:pPr>
      <w:r>
        <w:rPr>
          <w:sz w:val="22"/>
          <w:szCs w:val="22"/>
        </w:rPr>
        <w:t xml:space="preserve">Solidní obsahovou úroveň bakalářské práce bohužel poněkud snižuje </w:t>
      </w:r>
      <w:r w:rsidR="00547CC3">
        <w:rPr>
          <w:sz w:val="22"/>
          <w:szCs w:val="22"/>
        </w:rPr>
        <w:t xml:space="preserve">její jazyková a stylistická úroveň </w:t>
      </w:r>
      <w:r w:rsidR="004B082D">
        <w:rPr>
          <w:sz w:val="22"/>
          <w:szCs w:val="22"/>
        </w:rPr>
        <w:t>–</w:t>
      </w:r>
      <w:r w:rsidR="00547CC3">
        <w:rPr>
          <w:sz w:val="22"/>
          <w:szCs w:val="22"/>
        </w:rPr>
        <w:t xml:space="preserve"> </w:t>
      </w:r>
      <w:r w:rsidR="004B082D">
        <w:rPr>
          <w:sz w:val="22"/>
          <w:szCs w:val="22"/>
        </w:rPr>
        <w:t xml:space="preserve">výsledná podoba textu obsahuje </w:t>
      </w:r>
      <w:r w:rsidR="002C6940">
        <w:rPr>
          <w:sz w:val="22"/>
          <w:szCs w:val="22"/>
        </w:rPr>
        <w:t xml:space="preserve">poměrně velké množství překlepů, </w:t>
      </w:r>
      <w:r w:rsidR="00D11552">
        <w:rPr>
          <w:sz w:val="22"/>
          <w:szCs w:val="22"/>
        </w:rPr>
        <w:t>na mnoha místech autorka zápolí s</w:t>
      </w:r>
      <w:r w:rsidR="00931A09">
        <w:rPr>
          <w:sz w:val="22"/>
          <w:szCs w:val="22"/>
        </w:rPr>
        <w:t xml:space="preserve">e schopností srozumitelně a stylisticky správně </w:t>
      </w:r>
      <w:r w:rsidR="00CE4305">
        <w:rPr>
          <w:sz w:val="22"/>
          <w:szCs w:val="22"/>
        </w:rPr>
        <w:t xml:space="preserve">formulovat </w:t>
      </w:r>
      <w:r w:rsidR="002E5B37">
        <w:rPr>
          <w:sz w:val="22"/>
          <w:szCs w:val="22"/>
        </w:rPr>
        <w:t xml:space="preserve">své myšlenky. </w:t>
      </w:r>
      <w:r w:rsidR="00B71C6A">
        <w:rPr>
          <w:sz w:val="22"/>
          <w:szCs w:val="22"/>
        </w:rPr>
        <w:t xml:space="preserve">Grafická forma </w:t>
      </w:r>
      <w:r w:rsidR="003764BD">
        <w:rPr>
          <w:sz w:val="22"/>
          <w:szCs w:val="22"/>
        </w:rPr>
        <w:t xml:space="preserve">práce včetně stanovaných citačních norem </w:t>
      </w:r>
      <w:r w:rsidR="00B71C6A">
        <w:rPr>
          <w:sz w:val="22"/>
          <w:szCs w:val="22"/>
        </w:rPr>
        <w:t>byla ovšem dodržena</w:t>
      </w:r>
      <w:r w:rsidR="00EC3AC7">
        <w:rPr>
          <w:sz w:val="22"/>
          <w:szCs w:val="22"/>
        </w:rPr>
        <w:t xml:space="preserve">. </w:t>
      </w:r>
      <w:r w:rsidR="00B71C6A">
        <w:rPr>
          <w:sz w:val="22"/>
          <w:szCs w:val="22"/>
        </w:rPr>
        <w:t xml:space="preserve"> </w:t>
      </w:r>
      <w:r w:rsidR="00D11552">
        <w:rPr>
          <w:sz w:val="22"/>
          <w:szCs w:val="22"/>
        </w:rPr>
        <w:t xml:space="preserve"> </w:t>
      </w:r>
      <w:r w:rsidR="002C6940">
        <w:rPr>
          <w:sz w:val="22"/>
          <w:szCs w:val="22"/>
        </w:rPr>
        <w:t xml:space="preserve"> </w:t>
      </w:r>
    </w:p>
    <w:p w:rsidR="00894C1C" w:rsidRDefault="00894C1C" w:rsidP="00093493">
      <w:pPr>
        <w:rPr>
          <w:sz w:val="22"/>
          <w:szCs w:val="22"/>
        </w:rPr>
      </w:pPr>
    </w:p>
    <w:p w:rsidR="00894C1C" w:rsidRDefault="00894C1C" w:rsidP="00093493">
      <w:pPr>
        <w:rPr>
          <w:sz w:val="22"/>
          <w:szCs w:val="22"/>
        </w:rPr>
      </w:pPr>
    </w:p>
    <w:p w:rsidR="00894C1C" w:rsidRDefault="00894C1C" w:rsidP="00093493">
      <w:pPr>
        <w:rPr>
          <w:sz w:val="22"/>
          <w:szCs w:val="22"/>
        </w:rPr>
      </w:pPr>
    </w:p>
    <w:p w:rsidR="00894C1C" w:rsidRDefault="00894C1C" w:rsidP="00093493">
      <w:pPr>
        <w:rPr>
          <w:sz w:val="22"/>
          <w:szCs w:val="22"/>
        </w:rPr>
      </w:pPr>
      <w:r>
        <w:rPr>
          <w:sz w:val="22"/>
          <w:szCs w:val="22"/>
        </w:rPr>
        <w:t>body (0–4)</w:t>
      </w: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137"/>
      </w:tblGrid>
      <w:tr w:rsidR="00894C1C" w:rsidTr="005C33A8">
        <w:trPr>
          <w:trHeight w:val="276"/>
        </w:trPr>
        <w:tc>
          <w:tcPr>
            <w:tcW w:w="113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4C1C" w:rsidRDefault="001B2B17" w:rsidP="005C33A8">
            <w:pPr>
              <w:pStyle w:val="Obsahtabulky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</w:tbl>
    <w:p w:rsidR="00894C1C" w:rsidRDefault="00894C1C" w:rsidP="00093493"/>
    <w:p w:rsidR="00894C1C" w:rsidRDefault="00894C1C" w:rsidP="00093493">
      <w:pPr>
        <w:rPr>
          <w:b/>
          <w:bCs/>
          <w:sz w:val="22"/>
          <w:szCs w:val="22"/>
        </w:rPr>
      </w:pPr>
    </w:p>
    <w:p w:rsidR="00894C1C" w:rsidRDefault="00894C1C" w:rsidP="00093493">
      <w:pPr>
        <w:rPr>
          <w:sz w:val="22"/>
          <w:szCs w:val="22"/>
        </w:rPr>
      </w:pPr>
      <w:r>
        <w:rPr>
          <w:b/>
          <w:bCs/>
          <w:sz w:val="22"/>
          <w:szCs w:val="22"/>
        </w:rPr>
        <w:t>V. Otázky doporučené k rozpravě při obhajobě</w:t>
      </w:r>
      <w:r>
        <w:rPr>
          <w:sz w:val="22"/>
          <w:szCs w:val="22"/>
        </w:rPr>
        <w:t xml:space="preserve"> </w:t>
      </w:r>
    </w:p>
    <w:p w:rsidR="00894C1C" w:rsidRDefault="00894C1C" w:rsidP="00093493">
      <w:pPr>
        <w:rPr>
          <w:sz w:val="22"/>
          <w:szCs w:val="22"/>
        </w:rPr>
      </w:pPr>
    </w:p>
    <w:p w:rsidR="008361B5" w:rsidRDefault="008361B5" w:rsidP="00093493">
      <w:pPr>
        <w:rPr>
          <w:sz w:val="22"/>
          <w:szCs w:val="22"/>
        </w:rPr>
      </w:pPr>
    </w:p>
    <w:p w:rsidR="00894C1C" w:rsidRDefault="0098056F" w:rsidP="00093493">
      <w:pPr>
        <w:rPr>
          <w:sz w:val="22"/>
          <w:szCs w:val="22"/>
        </w:rPr>
      </w:pPr>
      <w:r>
        <w:rPr>
          <w:sz w:val="22"/>
          <w:szCs w:val="22"/>
        </w:rPr>
        <w:t>Existuje v současné české historické fantasy dílo</w:t>
      </w:r>
      <w:r w:rsidR="00436484">
        <w:rPr>
          <w:sz w:val="22"/>
          <w:szCs w:val="22"/>
        </w:rPr>
        <w:t xml:space="preserve"> či díla</w:t>
      </w:r>
      <w:r>
        <w:rPr>
          <w:sz w:val="22"/>
          <w:szCs w:val="22"/>
        </w:rPr>
        <w:t>,</w:t>
      </w:r>
      <w:r w:rsidR="007639FF">
        <w:rPr>
          <w:sz w:val="22"/>
          <w:szCs w:val="22"/>
        </w:rPr>
        <w:t xml:space="preserve"> </w:t>
      </w:r>
      <w:r>
        <w:rPr>
          <w:sz w:val="22"/>
          <w:szCs w:val="22"/>
        </w:rPr>
        <w:t>kter</w:t>
      </w:r>
      <w:r w:rsidR="00436484">
        <w:rPr>
          <w:sz w:val="22"/>
          <w:szCs w:val="22"/>
        </w:rPr>
        <w:t>á</w:t>
      </w:r>
      <w:r>
        <w:rPr>
          <w:sz w:val="22"/>
          <w:szCs w:val="22"/>
        </w:rPr>
        <w:t xml:space="preserve"> by se odehrával</w:t>
      </w:r>
      <w:r w:rsidR="00436484">
        <w:rPr>
          <w:sz w:val="22"/>
          <w:szCs w:val="22"/>
        </w:rPr>
        <w:t>a</w:t>
      </w:r>
      <w:r>
        <w:rPr>
          <w:sz w:val="22"/>
          <w:szCs w:val="22"/>
        </w:rPr>
        <w:t xml:space="preserve"> </w:t>
      </w:r>
      <w:r w:rsidR="007639FF">
        <w:rPr>
          <w:sz w:val="22"/>
          <w:szCs w:val="22"/>
        </w:rPr>
        <w:t>v husitském období</w:t>
      </w:r>
      <w:r w:rsidR="008361B5">
        <w:rPr>
          <w:sz w:val="22"/>
          <w:szCs w:val="22"/>
        </w:rPr>
        <w:t xml:space="preserve"> nebo alespoň v jeho těsné blízkosti</w:t>
      </w:r>
      <w:r w:rsidR="007639FF">
        <w:rPr>
          <w:sz w:val="22"/>
          <w:szCs w:val="22"/>
        </w:rPr>
        <w:t xml:space="preserve">? </w:t>
      </w:r>
    </w:p>
    <w:p w:rsidR="00894C1C" w:rsidRDefault="00894C1C" w:rsidP="00093493">
      <w:pPr>
        <w:rPr>
          <w:sz w:val="22"/>
          <w:szCs w:val="22"/>
        </w:rPr>
      </w:pPr>
    </w:p>
    <w:p w:rsidR="00894C1C" w:rsidRDefault="00894C1C" w:rsidP="00093493">
      <w:pPr>
        <w:rPr>
          <w:sz w:val="22"/>
          <w:szCs w:val="22"/>
        </w:rPr>
      </w:pPr>
    </w:p>
    <w:p w:rsidR="00894C1C" w:rsidRDefault="00894C1C" w:rsidP="00093493">
      <w:pPr>
        <w:rPr>
          <w:sz w:val="22"/>
          <w:szCs w:val="22"/>
        </w:rPr>
      </w:pPr>
    </w:p>
    <w:p w:rsidR="00894C1C" w:rsidRDefault="00894C1C" w:rsidP="00093493">
      <w:pPr>
        <w:rPr>
          <w:sz w:val="22"/>
          <w:szCs w:val="22"/>
        </w:rPr>
      </w:pPr>
    </w:p>
    <w:p w:rsidR="00894C1C" w:rsidRDefault="00894C1C" w:rsidP="00093493">
      <w:pPr>
        <w:rPr>
          <w:sz w:val="22"/>
          <w:szCs w:val="22"/>
        </w:rPr>
      </w:pPr>
      <w:r>
        <w:rPr>
          <w:b/>
          <w:bCs/>
          <w:sz w:val="22"/>
          <w:szCs w:val="22"/>
        </w:rPr>
        <w:t>VI. Celkové hodnocení</w:t>
      </w:r>
      <w:r>
        <w:rPr>
          <w:sz w:val="22"/>
          <w:szCs w:val="22"/>
        </w:rPr>
        <w:t xml:space="preserve"> (doporučení/nedoporučení k obhajobě)</w:t>
      </w:r>
    </w:p>
    <w:p w:rsidR="00894C1C" w:rsidRDefault="00894C1C" w:rsidP="00093493">
      <w:pPr>
        <w:rPr>
          <w:sz w:val="22"/>
          <w:szCs w:val="22"/>
        </w:rPr>
      </w:pPr>
    </w:p>
    <w:p w:rsidR="00894C1C" w:rsidRDefault="00894C1C" w:rsidP="00093493">
      <w:pPr>
        <w:rPr>
          <w:sz w:val="22"/>
          <w:szCs w:val="22"/>
        </w:rPr>
      </w:pPr>
    </w:p>
    <w:p w:rsidR="00894C1C" w:rsidRDefault="006C31AF" w:rsidP="00093493">
      <w:pPr>
        <w:rPr>
          <w:sz w:val="22"/>
          <w:szCs w:val="22"/>
        </w:rPr>
      </w:pPr>
      <w:r>
        <w:rPr>
          <w:sz w:val="22"/>
          <w:szCs w:val="22"/>
        </w:rPr>
        <w:t xml:space="preserve">Doporučuji bakalářskou práci k obhajobě. </w:t>
      </w:r>
    </w:p>
    <w:p w:rsidR="00894C1C" w:rsidRDefault="00894C1C" w:rsidP="00093493">
      <w:pPr>
        <w:rPr>
          <w:sz w:val="22"/>
          <w:szCs w:val="22"/>
        </w:rPr>
      </w:pPr>
    </w:p>
    <w:p w:rsidR="00894C1C" w:rsidRDefault="00894C1C" w:rsidP="00093493">
      <w:pPr>
        <w:rPr>
          <w:b/>
          <w:bCs/>
          <w:sz w:val="22"/>
          <w:szCs w:val="22"/>
        </w:rPr>
      </w:pPr>
    </w:p>
    <w:p w:rsidR="00894C1C" w:rsidRDefault="00894C1C" w:rsidP="00093493">
      <w:pPr>
        <w:rPr>
          <w:sz w:val="22"/>
          <w:szCs w:val="22"/>
        </w:rPr>
      </w:pPr>
      <w:r>
        <w:rPr>
          <w:b/>
          <w:bCs/>
          <w:sz w:val="22"/>
          <w:szCs w:val="22"/>
        </w:rPr>
        <w:t>VII. Návrh klasifikace</w:t>
      </w:r>
      <w:r>
        <w:rPr>
          <w:sz w:val="22"/>
          <w:szCs w:val="22"/>
        </w:rPr>
        <w:t xml:space="preserve"> (podle bodového ohodnocení)</w:t>
      </w:r>
    </w:p>
    <w:p w:rsidR="00894C1C" w:rsidRDefault="00894C1C" w:rsidP="00093493">
      <w:pPr>
        <w:rPr>
          <w:sz w:val="22"/>
          <w:szCs w:val="22"/>
        </w:rPr>
      </w:pPr>
    </w:p>
    <w:p w:rsidR="00894C1C" w:rsidRDefault="006C31AF" w:rsidP="00093493">
      <w:pPr>
        <w:rPr>
          <w:sz w:val="22"/>
          <w:szCs w:val="22"/>
        </w:rPr>
      </w:pPr>
      <w:r>
        <w:rPr>
          <w:sz w:val="22"/>
          <w:szCs w:val="22"/>
        </w:rPr>
        <w:t>Navrhuji práci klasifikovat známkou výborně (1</w:t>
      </w:r>
      <w:r w:rsidR="001B2B17">
        <w:rPr>
          <w:sz w:val="22"/>
          <w:szCs w:val="22"/>
        </w:rPr>
        <w:t>4</w:t>
      </w:r>
      <w:r>
        <w:rPr>
          <w:sz w:val="22"/>
          <w:szCs w:val="22"/>
        </w:rPr>
        <w:t xml:space="preserve"> bodů). </w:t>
      </w:r>
    </w:p>
    <w:p w:rsidR="00894C1C" w:rsidRDefault="00894C1C" w:rsidP="00093493">
      <w:pPr>
        <w:rPr>
          <w:sz w:val="22"/>
          <w:szCs w:val="22"/>
        </w:rPr>
      </w:pPr>
    </w:p>
    <w:p w:rsidR="00894C1C" w:rsidRDefault="00894C1C" w:rsidP="00093493">
      <w:pPr>
        <w:rPr>
          <w:sz w:val="22"/>
          <w:szCs w:val="22"/>
        </w:rPr>
      </w:pPr>
    </w:p>
    <w:p w:rsidR="00894C1C" w:rsidRDefault="00894C1C" w:rsidP="00093493">
      <w:pPr>
        <w:rPr>
          <w:sz w:val="22"/>
          <w:szCs w:val="22"/>
        </w:rPr>
      </w:pPr>
    </w:p>
    <w:p w:rsidR="00894C1C" w:rsidRDefault="00894C1C" w:rsidP="00093493">
      <w:pPr>
        <w:rPr>
          <w:sz w:val="22"/>
          <w:szCs w:val="22"/>
        </w:rPr>
      </w:pPr>
      <w:r>
        <w:rPr>
          <w:sz w:val="22"/>
          <w:szCs w:val="22"/>
        </w:rPr>
        <w:t>datum:</w:t>
      </w:r>
      <w:r w:rsidR="006C31AF">
        <w:rPr>
          <w:sz w:val="22"/>
          <w:szCs w:val="22"/>
        </w:rPr>
        <w:t xml:space="preserve"> </w:t>
      </w:r>
      <w:r w:rsidR="00941440">
        <w:rPr>
          <w:sz w:val="22"/>
          <w:szCs w:val="22"/>
        </w:rPr>
        <w:t>31. 7. 2013</w:t>
      </w:r>
      <w:r w:rsidR="006C31AF">
        <w:rPr>
          <w:sz w:val="22"/>
          <w:szCs w:val="22"/>
        </w:rPr>
        <w:t xml:space="preserve"> </w:t>
      </w:r>
    </w:p>
    <w:p w:rsidR="00894C1C" w:rsidRDefault="00894C1C" w:rsidP="00093493">
      <w:pPr>
        <w:rPr>
          <w:sz w:val="22"/>
          <w:szCs w:val="22"/>
        </w:rPr>
      </w:pPr>
    </w:p>
    <w:p w:rsidR="00894C1C" w:rsidRDefault="00894C1C" w:rsidP="00093493">
      <w:pPr>
        <w:rPr>
          <w:sz w:val="22"/>
          <w:szCs w:val="22"/>
        </w:rPr>
      </w:pPr>
      <w:r>
        <w:rPr>
          <w:sz w:val="22"/>
          <w:szCs w:val="22"/>
        </w:rPr>
        <w:t>podpis:</w:t>
      </w:r>
      <w:r w:rsidR="006C31AF">
        <w:rPr>
          <w:sz w:val="22"/>
          <w:szCs w:val="22"/>
        </w:rPr>
        <w:t xml:space="preserve"> Antonín </w:t>
      </w:r>
      <w:proofErr w:type="spellStart"/>
      <w:r w:rsidR="006C31AF">
        <w:rPr>
          <w:sz w:val="22"/>
          <w:szCs w:val="22"/>
        </w:rPr>
        <w:t>Kudláč</w:t>
      </w:r>
      <w:proofErr w:type="spellEnd"/>
    </w:p>
    <w:p w:rsidR="00894C1C" w:rsidRDefault="00894C1C" w:rsidP="00093493">
      <w:pPr>
        <w:rPr>
          <w:sz w:val="22"/>
          <w:szCs w:val="22"/>
        </w:rPr>
      </w:pPr>
    </w:p>
    <w:p w:rsidR="00894C1C" w:rsidRDefault="00894C1C" w:rsidP="00093493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:rsidR="00894C1C" w:rsidRDefault="00894C1C" w:rsidP="00093493">
      <w:pPr>
        <w:rPr>
          <w:sz w:val="20"/>
          <w:szCs w:val="20"/>
        </w:rPr>
      </w:pPr>
    </w:p>
    <w:p w:rsidR="00894C1C" w:rsidRDefault="00894C1C" w:rsidP="00093493">
      <w:pPr>
        <w:rPr>
          <w:sz w:val="20"/>
          <w:szCs w:val="20"/>
        </w:rPr>
      </w:pPr>
      <w:r>
        <w:rPr>
          <w:sz w:val="20"/>
          <w:szCs w:val="20"/>
        </w:rPr>
        <w:t xml:space="preserve">Tabulka bodového hodnocení </w:t>
      </w:r>
    </w:p>
    <w:p w:rsidR="00894C1C" w:rsidRDefault="00894C1C" w:rsidP="00093493">
      <w:pPr>
        <w:rPr>
          <w:sz w:val="20"/>
          <w:szCs w:val="20"/>
        </w:rPr>
      </w:pP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53"/>
        <w:gridCol w:w="1092"/>
        <w:gridCol w:w="2221"/>
      </w:tblGrid>
      <w:tr w:rsidR="00894C1C" w:rsidTr="005C33A8">
        <w:trPr>
          <w:trHeight w:val="276"/>
        </w:trPr>
        <w:tc>
          <w:tcPr>
            <w:tcW w:w="85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94C1C" w:rsidRDefault="00894C1C" w:rsidP="005C33A8">
            <w:pPr>
              <w:pStyle w:val="Obsahtabulky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body</w:t>
            </w:r>
          </w:p>
        </w:tc>
        <w:tc>
          <w:tcPr>
            <w:tcW w:w="10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94C1C" w:rsidRDefault="00894C1C" w:rsidP="005C33A8">
            <w:pPr>
              <w:pStyle w:val="Obsahtabulky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klasifikace</w:t>
            </w:r>
          </w:p>
        </w:tc>
        <w:tc>
          <w:tcPr>
            <w:tcW w:w="222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4C1C" w:rsidRDefault="00894C1C" w:rsidP="005C33A8">
            <w:pPr>
              <w:pStyle w:val="Obsahtabulky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podmínka</w:t>
            </w:r>
          </w:p>
        </w:tc>
      </w:tr>
      <w:tr w:rsidR="00894C1C" w:rsidTr="005C33A8">
        <w:trPr>
          <w:trHeight w:val="276"/>
        </w:trPr>
        <w:tc>
          <w:tcPr>
            <w:tcW w:w="853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94C1C" w:rsidRDefault="00894C1C" w:rsidP="005C33A8">
            <w:pPr>
              <w:pStyle w:val="Obsahtabulky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až 16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94C1C" w:rsidRDefault="00894C1C" w:rsidP="005C33A8">
            <w:pPr>
              <w:pStyle w:val="Obsahtabulky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výborně</w:t>
            </w:r>
          </w:p>
        </w:tc>
        <w:tc>
          <w:tcPr>
            <w:tcW w:w="2221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4C1C" w:rsidRDefault="00894C1C" w:rsidP="005C33A8">
            <w:pPr>
              <w:pStyle w:val="Obsahtabulky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žádná nulová položka</w:t>
            </w:r>
          </w:p>
        </w:tc>
      </w:tr>
      <w:tr w:rsidR="00894C1C" w:rsidTr="005C33A8">
        <w:trPr>
          <w:trHeight w:val="276"/>
        </w:trPr>
        <w:tc>
          <w:tcPr>
            <w:tcW w:w="853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94C1C" w:rsidRDefault="00894C1C" w:rsidP="005C33A8">
            <w:pPr>
              <w:pStyle w:val="Obsahtabulky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až 13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94C1C" w:rsidRDefault="00894C1C" w:rsidP="005C33A8">
            <w:pPr>
              <w:pStyle w:val="Obsahtabulky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velmi dobře</w:t>
            </w:r>
          </w:p>
        </w:tc>
        <w:tc>
          <w:tcPr>
            <w:tcW w:w="2221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4C1C" w:rsidRDefault="00894C1C" w:rsidP="005C33A8">
            <w:pPr>
              <w:pStyle w:val="Obsahtabulky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žádná nulová položka</w:t>
            </w:r>
          </w:p>
        </w:tc>
      </w:tr>
      <w:tr w:rsidR="00894C1C" w:rsidTr="005C33A8">
        <w:trPr>
          <w:trHeight w:val="276"/>
        </w:trPr>
        <w:tc>
          <w:tcPr>
            <w:tcW w:w="853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94C1C" w:rsidRDefault="00894C1C" w:rsidP="005C33A8">
            <w:pPr>
              <w:pStyle w:val="Obsahtabulky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až 10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94C1C" w:rsidRDefault="00894C1C" w:rsidP="005C33A8">
            <w:pPr>
              <w:pStyle w:val="Obsahtabulky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dobře</w:t>
            </w:r>
          </w:p>
        </w:tc>
        <w:tc>
          <w:tcPr>
            <w:tcW w:w="2221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4C1C" w:rsidRDefault="00894C1C" w:rsidP="005C33A8">
            <w:pPr>
              <w:pStyle w:val="Obsahtabulky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žádná nulová položka</w:t>
            </w:r>
          </w:p>
        </w:tc>
      </w:tr>
      <w:tr w:rsidR="00894C1C" w:rsidTr="005C33A8">
        <w:trPr>
          <w:trHeight w:val="276"/>
        </w:trPr>
        <w:tc>
          <w:tcPr>
            <w:tcW w:w="853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94C1C" w:rsidRDefault="00894C1C" w:rsidP="005C33A8">
            <w:pPr>
              <w:pStyle w:val="Obsahtabulky"/>
              <w:snapToGrid w:val="0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 a"/>
              </w:smartTagPr>
              <w:r>
                <w:rPr>
                  <w:sz w:val="20"/>
                  <w:szCs w:val="20"/>
                </w:rPr>
                <w:t>4 a</w:t>
              </w:r>
            </w:smartTag>
            <w:r>
              <w:rPr>
                <w:sz w:val="20"/>
                <w:szCs w:val="20"/>
              </w:rPr>
              <w:t xml:space="preserve"> méně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94C1C" w:rsidRDefault="00894C1C" w:rsidP="005C33A8">
            <w:pPr>
              <w:pStyle w:val="Obsahtabulky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nevyhověl</w:t>
            </w:r>
          </w:p>
        </w:tc>
        <w:tc>
          <w:tcPr>
            <w:tcW w:w="2221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4C1C" w:rsidRDefault="00894C1C" w:rsidP="005C33A8">
            <w:pPr>
              <w:pStyle w:val="Obsahtabulky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min. 1 nulová položka </w:t>
            </w:r>
          </w:p>
        </w:tc>
      </w:tr>
    </w:tbl>
    <w:p w:rsidR="00894C1C" w:rsidRDefault="00894C1C" w:rsidP="00093493">
      <w:pPr>
        <w:rPr>
          <w:sz w:val="22"/>
          <w:szCs w:val="22"/>
        </w:rPr>
      </w:pPr>
    </w:p>
    <w:p w:rsidR="00894C1C" w:rsidRDefault="00894C1C"/>
    <w:sectPr w:rsidR="00894C1C" w:rsidSect="00894C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021E" w:rsidRDefault="0033021E">
      <w:r>
        <w:separator/>
      </w:r>
    </w:p>
  </w:endnote>
  <w:endnote w:type="continuationSeparator" w:id="0">
    <w:p w:rsidR="0033021E" w:rsidRDefault="003302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021E" w:rsidRDefault="0033021E">
      <w:r>
        <w:separator/>
      </w:r>
    </w:p>
  </w:footnote>
  <w:footnote w:type="continuationSeparator" w:id="0">
    <w:p w:rsidR="0033021E" w:rsidRDefault="0033021E">
      <w:r>
        <w:continuationSeparator/>
      </w:r>
    </w:p>
  </w:footnote>
  <w:footnote w:id="1">
    <w:p w:rsidR="00894C1C" w:rsidRDefault="00894C1C" w:rsidP="00093493">
      <w:pPr>
        <w:pStyle w:val="Textpoznpodarou"/>
      </w:pPr>
      <w:r>
        <w:rPr>
          <w:rStyle w:val="Znakypropoznmkupodarou"/>
        </w:rPr>
        <w:t>*</w:t>
      </w:r>
      <w:r>
        <w:tab/>
        <w:t>legenda k bodovému hodnocení: 4 = zcela adekvátně zpracováno; 3 = poměrně vhodně zpracováno; 2 = dostatečně zpracováno; 1 = pouze částečně splněno; 0 = neadekvátně zpracováno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cs="Times New Roman"/>
        <w:b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3493"/>
    <w:rsid w:val="000022F0"/>
    <w:rsid w:val="0005563C"/>
    <w:rsid w:val="00093493"/>
    <w:rsid w:val="000D244E"/>
    <w:rsid w:val="00101979"/>
    <w:rsid w:val="001456BC"/>
    <w:rsid w:val="001B2B17"/>
    <w:rsid w:val="001E1F9A"/>
    <w:rsid w:val="00207C22"/>
    <w:rsid w:val="00266768"/>
    <w:rsid w:val="00276073"/>
    <w:rsid w:val="00281862"/>
    <w:rsid w:val="002A1B13"/>
    <w:rsid w:val="002C6940"/>
    <w:rsid w:val="002E5B37"/>
    <w:rsid w:val="00303C23"/>
    <w:rsid w:val="003103C2"/>
    <w:rsid w:val="0033021E"/>
    <w:rsid w:val="00361D28"/>
    <w:rsid w:val="003755EF"/>
    <w:rsid w:val="003764BD"/>
    <w:rsid w:val="00386430"/>
    <w:rsid w:val="00411320"/>
    <w:rsid w:val="00421B1A"/>
    <w:rsid w:val="00436484"/>
    <w:rsid w:val="00460C5D"/>
    <w:rsid w:val="00496788"/>
    <w:rsid w:val="004B082D"/>
    <w:rsid w:val="004B1848"/>
    <w:rsid w:val="004C44E2"/>
    <w:rsid w:val="00525E87"/>
    <w:rsid w:val="00547CC3"/>
    <w:rsid w:val="005B75D5"/>
    <w:rsid w:val="005C2CD6"/>
    <w:rsid w:val="005C33A8"/>
    <w:rsid w:val="005D37C1"/>
    <w:rsid w:val="005E398C"/>
    <w:rsid w:val="005F3241"/>
    <w:rsid w:val="00657064"/>
    <w:rsid w:val="006869B0"/>
    <w:rsid w:val="006C31AF"/>
    <w:rsid w:val="007639FF"/>
    <w:rsid w:val="007E7849"/>
    <w:rsid w:val="008361B5"/>
    <w:rsid w:val="0084297A"/>
    <w:rsid w:val="00856137"/>
    <w:rsid w:val="00894C1C"/>
    <w:rsid w:val="008C5E7A"/>
    <w:rsid w:val="008D6521"/>
    <w:rsid w:val="009126E0"/>
    <w:rsid w:val="00930747"/>
    <w:rsid w:val="00931A09"/>
    <w:rsid w:val="00941440"/>
    <w:rsid w:val="0095594F"/>
    <w:rsid w:val="00977F2E"/>
    <w:rsid w:val="0098056F"/>
    <w:rsid w:val="00981D73"/>
    <w:rsid w:val="00A64170"/>
    <w:rsid w:val="00B2354C"/>
    <w:rsid w:val="00B33EF4"/>
    <w:rsid w:val="00B71C6A"/>
    <w:rsid w:val="00B9627E"/>
    <w:rsid w:val="00B97914"/>
    <w:rsid w:val="00BB2909"/>
    <w:rsid w:val="00BB29F1"/>
    <w:rsid w:val="00C02355"/>
    <w:rsid w:val="00C04B9C"/>
    <w:rsid w:val="00C11E15"/>
    <w:rsid w:val="00C15D94"/>
    <w:rsid w:val="00C5237B"/>
    <w:rsid w:val="00C60E3C"/>
    <w:rsid w:val="00C755BE"/>
    <w:rsid w:val="00C876EB"/>
    <w:rsid w:val="00C97488"/>
    <w:rsid w:val="00CE241C"/>
    <w:rsid w:val="00CE4305"/>
    <w:rsid w:val="00D11552"/>
    <w:rsid w:val="00D2296C"/>
    <w:rsid w:val="00D24BE4"/>
    <w:rsid w:val="00D62108"/>
    <w:rsid w:val="00DD006F"/>
    <w:rsid w:val="00DE618B"/>
    <w:rsid w:val="00E05D39"/>
    <w:rsid w:val="00E331C6"/>
    <w:rsid w:val="00E568F6"/>
    <w:rsid w:val="00E7076D"/>
    <w:rsid w:val="00E90B05"/>
    <w:rsid w:val="00EC3AC7"/>
    <w:rsid w:val="00EC4C58"/>
    <w:rsid w:val="00F26D8B"/>
    <w:rsid w:val="00F80FD4"/>
    <w:rsid w:val="00FF2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93493"/>
    <w:pPr>
      <w:widowControl w:val="0"/>
      <w:suppressAutoHyphens/>
    </w:pPr>
    <w:rPr>
      <w:rFonts w:eastAsia="Arial Unicode MS"/>
      <w:kern w:val="1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nakypropoznmkupodarou">
    <w:name w:val="Znaky pro poznámku pod čarou"/>
    <w:rsid w:val="00093493"/>
  </w:style>
  <w:style w:type="character" w:customStyle="1" w:styleId="Znakapoznpodarou1">
    <w:name w:val="Značka pozn. pod čarou1"/>
    <w:rsid w:val="00093493"/>
    <w:rPr>
      <w:vertAlign w:val="superscript"/>
    </w:rPr>
  </w:style>
  <w:style w:type="paragraph" w:customStyle="1" w:styleId="Obsahtabulky">
    <w:name w:val="Obsah tabulky"/>
    <w:basedOn w:val="Normln"/>
    <w:rsid w:val="00093493"/>
    <w:pPr>
      <w:suppressLineNumbers/>
    </w:pPr>
  </w:style>
  <w:style w:type="paragraph" w:styleId="Textpoznpodarou">
    <w:name w:val="footnote text"/>
    <w:basedOn w:val="Normln"/>
    <w:link w:val="TextpoznpodarouChar"/>
    <w:uiPriority w:val="99"/>
    <w:semiHidden/>
    <w:rsid w:val="00093493"/>
    <w:pPr>
      <w:suppressLineNumbers/>
      <w:ind w:left="283" w:hanging="283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A1FA4"/>
    <w:rPr>
      <w:rFonts w:eastAsia="Arial Unicode MS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500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Univerzita Pardubice – Fakulta filozofická – KLKS</vt:lpstr>
    </vt:vector>
  </TitlesOfParts>
  <Company>UPa</Company>
  <LinksUpToDate>false</LinksUpToDate>
  <CharactersWithSpaces>3449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Univerzita Pardubice – Fakulta filozofická – KLKS</dc:title>
  <dc:subject/>
  <dc:creator>UPa</dc:creator>
  <cp:keywords/>
  <dc:description/>
  <cp:lastModifiedBy>Your User Name</cp:lastModifiedBy>
  <cp:revision>87</cp:revision>
  <dcterms:created xsi:type="dcterms:W3CDTF">2013-07-15T13:37:00Z</dcterms:created>
  <dcterms:modified xsi:type="dcterms:W3CDTF">2013-07-31T08:28:00Z</dcterms:modified>
</cp:coreProperties>
</file>